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overflowPunct/>
        <w:topLinePunct w:val="0"/>
        <w:autoSpaceDE/>
        <w:autoSpaceDN/>
        <w:bidi w:val="0"/>
        <w:adjustRightInd/>
        <w:spacing w:line="360" w:lineRule="auto"/>
        <w:jc w:val="left"/>
        <w:textAlignment w:val="auto"/>
        <w:outlineLvl w:val="9"/>
        <w:rPr>
          <w:rFonts w:hint="eastAsia" w:ascii="宋体" w:hAnsi="宋体" w:eastAsia="宋体"/>
          <w:b/>
          <w:bCs/>
          <w:color w:val="auto"/>
          <w:sz w:val="21"/>
          <w:szCs w:val="21"/>
          <w:lang w:val="en-US" w:eastAsia="zh-CN"/>
        </w:rPr>
      </w:pPr>
      <w:bookmarkStart w:id="0" w:name="_Toc3261"/>
      <w:bookmarkStart w:id="1" w:name="_Toc6176"/>
      <w:bookmarkStart w:id="10" w:name="_GoBack"/>
      <w:r>
        <w:rPr>
          <w:rFonts w:hint="eastAsia" w:ascii="宋体" w:hAnsi="宋体"/>
          <w:b/>
          <w:bCs/>
          <w:color w:val="auto"/>
          <w:sz w:val="21"/>
          <w:szCs w:val="21"/>
        </w:rPr>
        <w:t>福州职业技术学院建筑工程学院2024-2025第一学期实验实训耗材采购项目</w:t>
      </w:r>
      <w:r>
        <w:rPr>
          <w:rFonts w:hint="eastAsia" w:ascii="宋体" w:hAnsi="宋体"/>
          <w:b/>
          <w:bCs/>
          <w:color w:val="auto"/>
          <w:sz w:val="21"/>
          <w:szCs w:val="21"/>
          <w:lang w:val="en-US" w:eastAsia="zh-CN"/>
        </w:rPr>
        <w:t>竞价公告</w:t>
      </w:r>
    </w:p>
    <w:bookmarkEnd w:id="10"/>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Cs w:val="21"/>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4032</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项目名称：福州职业技术学院建筑工程学院2024-2025第一学期实验实训耗材采购项目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w:t>
      </w:r>
      <w:r>
        <w:rPr>
          <w:rFonts w:hint="eastAsia" w:ascii="宋体" w:hAnsi="宋体"/>
          <w:b/>
          <w:bCs/>
          <w:color w:val="auto"/>
          <w:sz w:val="21"/>
          <w:szCs w:val="21"/>
          <w:lang w:val="en-US" w:eastAsia="zh-CN"/>
        </w:rPr>
        <w:t>24</w:t>
      </w:r>
      <w:r>
        <w:rPr>
          <w:rFonts w:hint="eastAsia" w:ascii="宋体" w:hAnsi="宋体"/>
          <w:b/>
          <w:bCs/>
          <w:color w:val="auto"/>
          <w:sz w:val="21"/>
          <w:szCs w:val="21"/>
        </w:rPr>
        <w:t>年11月</w:t>
      </w:r>
      <w:r>
        <w:rPr>
          <w:rFonts w:hint="eastAsia" w:ascii="宋体" w:hAnsi="宋体"/>
          <w:b/>
          <w:bCs/>
          <w:color w:val="auto"/>
          <w:sz w:val="21"/>
          <w:szCs w:val="21"/>
          <w:lang w:val="en-US" w:eastAsia="zh-CN"/>
        </w:rPr>
        <w:t>21</w:t>
      </w:r>
      <w:r>
        <w:rPr>
          <w:rFonts w:hint="eastAsia" w:ascii="宋体" w:hAnsi="宋体"/>
          <w:b/>
          <w:bCs/>
          <w:color w:val="auto"/>
          <w:sz w:val="21"/>
          <w:szCs w:val="21"/>
        </w:rPr>
        <w:t>日9：00-2024年11月</w:t>
      </w:r>
      <w:r>
        <w:rPr>
          <w:rFonts w:hint="eastAsia" w:ascii="宋体" w:hAnsi="宋体"/>
          <w:b/>
          <w:bCs/>
          <w:color w:val="auto"/>
          <w:sz w:val="21"/>
          <w:szCs w:val="21"/>
          <w:lang w:val="en-US" w:eastAsia="zh-CN"/>
        </w:rPr>
        <w:t>25</w:t>
      </w:r>
      <w:r>
        <w:rPr>
          <w:rFonts w:hint="eastAsia" w:ascii="宋体" w:hAnsi="宋体"/>
          <w:b/>
          <w:bCs/>
          <w:color w:val="auto"/>
          <w:sz w:val="21"/>
          <w:szCs w:val="21"/>
        </w:rPr>
        <w:t>日17:00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26</w:t>
      </w:r>
      <w:r>
        <w:rPr>
          <w:rFonts w:hint="eastAsia" w:ascii="宋体" w:hAnsi="宋体"/>
          <w:b/>
          <w:bCs/>
          <w:color w:val="auto"/>
          <w:sz w:val="21"/>
          <w:szCs w:val="21"/>
        </w:rPr>
        <w:t>日</w:t>
      </w:r>
      <w:r>
        <w:rPr>
          <w:rFonts w:hint="eastAsia" w:ascii="宋体" w:hAnsi="宋体"/>
          <w:b/>
          <w:bCs/>
          <w:color w:val="auto"/>
          <w:sz w:val="21"/>
          <w:szCs w:val="21"/>
          <w:lang w:val="en-US" w:eastAsia="zh-CN"/>
        </w:rPr>
        <w:t>9</w:t>
      </w:r>
      <w:r>
        <w:rPr>
          <w:rFonts w:hint="eastAsia" w:ascii="宋体" w:hAnsi="宋体"/>
          <w:b/>
          <w:bCs/>
          <w:color w:val="auto"/>
          <w:sz w:val="21"/>
          <w:szCs w:val="21"/>
        </w:rPr>
        <w:t>:00-1</w:t>
      </w:r>
      <w:r>
        <w:rPr>
          <w:rFonts w:hint="eastAsia" w:ascii="宋体" w:hAnsi="宋体"/>
          <w:b/>
          <w:bCs/>
          <w:color w:val="auto"/>
          <w:sz w:val="21"/>
          <w:szCs w:val="21"/>
          <w:lang w:val="en-US" w:eastAsia="zh-CN"/>
        </w:rPr>
        <w:t>1</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李老师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联系电话：15802727322</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140042883"/>
            <w:bookmarkStart w:id="7" w:name="_Toc140400460"/>
            <w:bookmarkStart w:id="8" w:name="_Toc385840944"/>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福州职业技术学院建筑工程学院2024-2025第一学期实验实训耗材采购项目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lang w:val="en-US" w:eastAsia="zh-CN"/>
              </w:rPr>
              <w:t>19862.16</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1"/>
                <w:sz w:val="21"/>
                <w:szCs w:val="21"/>
                <w:lang w:val="en-US" w:eastAsia="zh-CN"/>
              </w:rPr>
              <w:t>19862.16</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玖壹万玖仟捌佰陆拾贰元壹角陆分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 xml:space="preserve"> 19862.16）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numPr>
                <w:ilvl w:val="0"/>
                <w:numId w:val="0"/>
              </w:numPr>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keepNext w:val="0"/>
              <w:keepLines w:val="0"/>
              <w:pageBreakBefore w:val="0"/>
              <w:widowControl/>
              <w:numPr>
                <w:ilvl w:val="0"/>
                <w:numId w:val="0"/>
              </w:numPr>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bCs/>
                <w:color w:val="auto"/>
                <w:sz w:val="21"/>
                <w:szCs w:val="21"/>
                <w:highlight w:val="none"/>
                <w:lang w:eastAsia="zh-CN"/>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26</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6"/>
          <w:rFonts w:ascii="宋体" w:hAnsi="宋体"/>
          <w:color w:val="auto"/>
          <w:kern w:val="0"/>
          <w:sz w:val="21"/>
          <w:szCs w:val="21"/>
          <w:highlight w:val="none"/>
        </w:rPr>
      </w:pPr>
      <w:r>
        <w:rPr>
          <w:rFonts w:hint="eastAsia"/>
          <w:color w:val="auto"/>
          <w:szCs w:val="21"/>
          <w:highlight w:val="none"/>
          <w:lang w:val="en-US" w:eastAsia="zh-CN"/>
        </w:rPr>
        <w:t>5、</w:t>
      </w:r>
      <w:r>
        <w:rPr>
          <w:rStyle w:val="6"/>
          <w:rFonts w:ascii="宋体" w:hAnsi="宋体"/>
          <w:color w:val="auto"/>
          <w:kern w:val="0"/>
          <w:sz w:val="21"/>
          <w:szCs w:val="21"/>
          <w:highlight w:val="none"/>
        </w:rPr>
        <w:t>有下列情形之一的，视为竞价人相互串通竞价</w:t>
      </w:r>
      <w:r>
        <w:rPr>
          <w:rStyle w:val="6"/>
          <w:rFonts w:hint="eastAsia" w:ascii="宋体" w:hAnsi="宋体"/>
          <w:color w:val="auto"/>
          <w:kern w:val="0"/>
          <w:sz w:val="21"/>
          <w:szCs w:val="21"/>
          <w:highlight w:val="none"/>
        </w:rPr>
        <w:t>，其竞价结果无效</w:t>
      </w:r>
      <w:r>
        <w:rPr>
          <w:rStyle w:val="6"/>
          <w:rFonts w:ascii="宋体" w:hAnsi="宋体"/>
          <w:color w:val="auto"/>
          <w:kern w:val="0"/>
          <w:sz w:val="21"/>
          <w:szCs w:val="21"/>
          <w:highlight w:val="none"/>
        </w:rPr>
        <w:t>:</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6"/>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300.00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 w:hRule="atLeast"/>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rPr>
            </w:pPr>
            <w:r>
              <w:rPr>
                <w:rFonts w:hint="default" w:ascii="宋体" w:hAnsi="宋体" w:eastAsia="宋体" w:cs="宋体"/>
                <w:color w:val="auto"/>
                <w:kern w:val="0"/>
                <w:sz w:val="21"/>
                <w:szCs w:val="21"/>
                <w:highlight w:val="none"/>
                <w:lang w:val="en-US" w:eastAsia="zh-CN"/>
              </w:rPr>
              <w:t>福州职业技术学院建筑工程学院2024-2025第一学期实验实训耗材采购项目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lang w:val="en-US" w:eastAsia="zh-CN"/>
              </w:rPr>
              <w:t>19862.16</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11"/>
                <w:sz w:val="21"/>
                <w:szCs w:val="21"/>
                <w:lang w:val="en-US" w:eastAsia="zh-CN"/>
              </w:rPr>
              <w:t>19862.16</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玖壹万玖仟捌佰陆拾贰元壹角陆分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 xml:space="preserve"> 19862.16）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rHeight w:val="570" w:hRule="atLeast"/>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numPr>
                <w:ilvl w:val="0"/>
                <w:numId w:val="0"/>
              </w:numPr>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rPr>
                <w:color w:val="auto"/>
              </w:rPr>
            </w:pP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bCs/>
                <w:color w:val="auto"/>
                <w:sz w:val="21"/>
                <w:szCs w:val="21"/>
                <w:highlight w:val="none"/>
                <w:lang w:eastAsia="zh-CN"/>
              </w:rPr>
              <w:t>。</w:t>
            </w:r>
          </w:p>
          <w:p>
            <w:pPr>
              <w:keepNext w:val="0"/>
              <w:keepLines w:val="0"/>
              <w:pageBreakBefore w:val="0"/>
              <w:widowControl/>
              <w:numPr>
                <w:ilvl w:val="0"/>
                <w:numId w:val="0"/>
              </w:numPr>
              <w:kinsoku/>
              <w:overflowPunct/>
              <w:topLinePunct w:val="0"/>
              <w:autoSpaceDE/>
              <w:autoSpaceDN/>
              <w:bidi w:val="0"/>
              <w:adjustRightInd/>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p>
        </w:tc>
      </w:tr>
    </w:tbl>
    <w:p>
      <w:pPr>
        <w:pStyle w:val="7"/>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rPr>
        <w:t>采购清单</w:t>
      </w:r>
      <w:r>
        <w:rPr>
          <w:rFonts w:hint="eastAsia" w:ascii="宋体" w:hAnsi="宋体" w:eastAsia="宋体" w:cs="宋体"/>
          <w:b/>
          <w:bCs/>
          <w:color w:val="auto"/>
          <w:lang w:val="en-US" w:eastAsia="zh-CN"/>
        </w:rPr>
        <w:t>及技术参数</w:t>
      </w:r>
      <w:r>
        <w:rPr>
          <w:rFonts w:hint="eastAsia" w:ascii="宋体" w:hAnsi="宋体" w:cs="宋体"/>
          <w:b/>
          <w:bCs/>
          <w:color w:val="auto"/>
          <w:lang w:val="en-US" w:eastAsia="zh-CN"/>
        </w:rPr>
        <w:t>要求详见附件。</w:t>
      </w:r>
    </w:p>
    <w:p>
      <w:pPr>
        <w:pStyle w:val="7"/>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福州职业技术学院内指定地点。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2.交付时间：成交通知书</w:t>
      </w:r>
      <w:r>
        <w:rPr>
          <w:rFonts w:hint="eastAsia" w:ascii="宋体" w:hAnsi="宋体" w:eastAsia="宋体" w:cs="宋体"/>
          <w:color w:val="auto"/>
          <w:sz w:val="21"/>
          <w:szCs w:val="21"/>
          <w:lang w:val="en-US" w:eastAsia="zh-CN"/>
        </w:rPr>
        <w:t>发出</w:t>
      </w:r>
      <w:r>
        <w:rPr>
          <w:rFonts w:hint="eastAsia" w:ascii="宋体" w:hAnsi="宋体" w:eastAsia="宋体" w:cs="宋体"/>
          <w:color w:val="auto"/>
          <w:sz w:val="21"/>
          <w:szCs w:val="21"/>
        </w:rPr>
        <w:t>后</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天</w:t>
      </w:r>
      <w:r>
        <w:rPr>
          <w:rFonts w:hint="eastAsia" w:ascii="宋体" w:hAnsi="宋体" w:eastAsia="宋体" w:cs="宋体"/>
          <w:color w:val="auto"/>
          <w:sz w:val="21"/>
          <w:szCs w:val="21"/>
          <w:lang w:eastAsia="zh-CN"/>
        </w:rPr>
        <w:t>内</w:t>
      </w:r>
      <w:r>
        <w:rPr>
          <w:rFonts w:hint="eastAsia" w:ascii="宋体" w:hAnsi="宋体" w:eastAsia="宋体" w:cs="宋体"/>
          <w:color w:val="auto"/>
          <w:sz w:val="21"/>
          <w:szCs w:val="21"/>
        </w:rPr>
        <w:t>完成</w:t>
      </w:r>
      <w:r>
        <w:rPr>
          <w:rFonts w:hint="eastAsia" w:ascii="宋体" w:hAnsi="宋体" w:eastAsia="宋体" w:cs="宋体"/>
          <w:color w:val="auto"/>
          <w:sz w:val="21"/>
          <w:szCs w:val="21"/>
          <w:lang w:eastAsia="zh-CN"/>
        </w:rPr>
        <w:t>供货。</w:t>
      </w:r>
    </w:p>
    <w:p>
      <w:pPr>
        <w:pStyle w:val="8"/>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7"/>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3.1全部货物交货经安装调试，并经验收合格后，15个工作日内学校凭收讫货物的验收凭证和货物验收合格文件等材料以转账方式向供应商一次性支付 100% 的货物价款。</w:t>
      </w:r>
    </w:p>
    <w:p>
      <w:pPr>
        <w:pStyle w:val="7"/>
        <w:spacing w:line="24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.2付款条件：</w:t>
      </w:r>
      <w:r>
        <w:rPr>
          <w:rFonts w:hint="eastAsia" w:ascii="宋体" w:hAnsi="宋体" w:eastAsia="宋体" w:cs="宋体"/>
          <w:color w:val="auto"/>
          <w:sz w:val="21"/>
          <w:szCs w:val="21"/>
          <w:highlight w:val="none"/>
        </w:rPr>
        <w:t>金额为有关合同货物价格100%的正式发票。</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4.质保期：免费保修期为15天（耗材从货到验收合格之日起算）</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5.售后服务要求：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品质与保证:成交人所提供的产品应是原厂原装产品，确保产品品质和性能符合采购方要求。成交人不得使用仿冒产品、二次利用产品或存在任何损伤的产品。成交人应对其提供的产品质量负责，并提供相应的质量合格证明。</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6.验收要求</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货物送至采购人指定地点后，成交人和采购人应共同进行拆箱验收。验收内容包括但不限于全部货物的型号、规格、数量、外型、外观及包装。成交人须在项目验收时，将全部相关的技术文件、资料等文档交付给采购人。</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7.不可抗力</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7.1 定义：不可抗力是指合同双方无法预见、无法避免且无法克服的客观情况，包括但不限于自然灾害、战争、政治事件、政府行为、罢工、疫情、网络攻击、技术故障等。</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7.2 适用范围：当不可抗力事件导致一方无法履行或延迟履行其合同义务时，该方应及时通知另一方并提供相关证明文件。不可抗力事件期间，受影响方应免除其因无法履行或延迟履行所产生的违约责任。</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7.3 履行期限的延长：在不可抗力事件持续期间，合同双方应协商延长受影响方的履行期限。若不可抗力事件持续时间过长，导致合同无法继续履行，双方可协商解除合同。</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7.4 减轻损失：</w:t>
      </w:r>
      <w:r>
        <w:rPr>
          <w:rFonts w:hint="eastAsia" w:ascii="宋体" w:hAnsi="宋体" w:eastAsia="宋体" w:cs="宋体"/>
          <w:b w:val="0"/>
          <w:bCs w:val="0"/>
          <w:color w:val="auto"/>
          <w:kern w:val="0"/>
          <w:sz w:val="21"/>
          <w:szCs w:val="21"/>
          <w:highlight w:val="none"/>
          <w:lang w:val="en-US" w:eastAsia="zh-CN"/>
        </w:rPr>
        <w:t>采购人、成交人</w:t>
      </w:r>
      <w:r>
        <w:rPr>
          <w:rFonts w:hint="default" w:ascii="宋体" w:hAnsi="宋体" w:eastAsia="宋体" w:cs="宋体"/>
          <w:b w:val="0"/>
          <w:bCs w:val="0"/>
          <w:color w:val="auto"/>
          <w:kern w:val="0"/>
          <w:sz w:val="21"/>
          <w:szCs w:val="21"/>
          <w:highlight w:val="none"/>
          <w:lang w:val="en-US" w:eastAsia="zh-CN"/>
        </w:rPr>
        <w:t>双方应尽力采取合理措施，减轻不可抗力事件给双方造成的损失。</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8.违约责任</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8.1 若交货不符合约定或存在缺陷，成交人应在7天内完成换货。逾期则按成交金额的1%/天支付违约金。</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8.2 逾期交货的赔偿：除不可抗力因素外，如成交人未能按照约定的时间交付货物或提供服务，应书面通知采购人逾期的事实、可能逾期的时间和原因。每逾期5天，成交人应按成交金额的2%支付违约金。</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8.3 违约违规终止：若成交人未能在规定期限内提供货物，采购人在采取任何补救措施的同时，有权向成交人发出书面违约通知书，单方面终止部分或全部协议。</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9.争议处理</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9.1 友好协商：在合同履行过程中，如双方发生争议，应首先通过友好协商的方式解决。协商过程中，双方应坦诚相待，充分沟通，以达成双方都能接受的解决方案。</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9.2 调解或仲裁：如双方无法通过友好协商解决争议，可提交至双方认可的调解机构进行调解，或按照合同约定提交至仲裁机构进行仲裁。仲裁裁决具有最终的法律效力，双方应遵守并履行仲裁裁决。</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9.3 诉讼：若合同双方未约定调解或仲裁方式解决争议，或调解、仲裁无果，双方均有权向具有管辖权的人民法院提起诉讼。</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9.4 争议解决期间的合同履行：在争议解决期间，双方应继续履行合同中未受争议的部分。若争议涉及合同主要义务，且争议解决时间较长，双方可协商暂停履行相关义务，待争议解决后再恢复履行。</w:t>
      </w:r>
    </w:p>
    <w:p>
      <w:pPr>
        <w:pageBreakBefore w:val="0"/>
        <w:kinsoku/>
        <w:wordWrap/>
        <w:overflowPunct/>
        <w:topLinePunct w:val="0"/>
        <w:bidi w:val="0"/>
        <w:adjustRightInd/>
        <w:snapToGrid/>
        <w:spacing w:line="24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9.5 证据保全：在争议解决过程中，双方应妥善保管与争议有关的证据材料，以便在需要时提交给调解机构、仲裁机构或法院。</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lang w:eastAsia="zh-CN"/>
        </w:rPr>
      </w:pPr>
    </w:p>
    <w:p>
      <w:pPr>
        <w:keepNext w:val="0"/>
        <w:keepLines w:val="0"/>
        <w:pageBreakBefore w:val="0"/>
        <w:widowControl/>
        <w:kinsoku/>
        <w:overflowPunct/>
        <w:topLinePunct w:val="0"/>
        <w:autoSpaceDE/>
        <w:autoSpaceDN/>
        <w:bidi w:val="0"/>
        <w:adjustRightInd/>
        <w:spacing w:line="240" w:lineRule="auto"/>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240" w:lineRule="auto"/>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11</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20</w:t>
      </w:r>
      <w:r>
        <w:rPr>
          <w:rFonts w:hint="eastAsia" w:ascii="宋体" w:hAnsi="宋体" w:eastAsia="宋体" w:cs="宋体"/>
          <w:b/>
          <w:color w:val="auto"/>
          <w:kern w:val="0"/>
          <w:szCs w:val="21"/>
        </w:rPr>
        <w:t>日</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outlineLvl w:val="0"/>
        <w:rPr>
          <w:rFonts w:hint="eastAsia" w:ascii="宋体" w:hAnsi="宋体" w:cs="宋体"/>
          <w:b/>
          <w:color w:val="auto"/>
          <w:kern w:val="0"/>
          <w:szCs w:val="21"/>
          <w:lang w:eastAsia="zh-CN"/>
        </w:rPr>
      </w:pPr>
      <w:r>
        <w:rPr>
          <w:rFonts w:hint="eastAsia" w:ascii="宋体" w:hAnsi="宋体" w:cs="宋体"/>
          <w:b/>
          <w:color w:val="auto"/>
          <w:kern w:val="0"/>
          <w:szCs w:val="21"/>
        </w:rPr>
        <w:br w:type="page"/>
      </w:r>
      <w:r>
        <w:rPr>
          <w:rFonts w:hint="eastAsia" w:ascii="宋体" w:hAnsi="宋体" w:cs="宋体"/>
          <w:b/>
          <w:color w:val="auto"/>
          <w:kern w:val="0"/>
          <w:szCs w:val="21"/>
          <w:lang w:eastAsia="zh-CN"/>
        </w:rPr>
        <w:t>附件：采购清单及技术参数要求</w:t>
      </w:r>
    </w:p>
    <w:tbl>
      <w:tblPr>
        <w:tblStyle w:val="4"/>
        <w:tblW w:w="97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7"/>
        <w:gridCol w:w="3425"/>
        <w:gridCol w:w="2472"/>
        <w:gridCol w:w="713"/>
        <w:gridCol w:w="762"/>
        <w:gridCol w:w="853"/>
        <w:gridCol w:w="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77" w:type="dxa"/>
            <w:tcBorders>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42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物品名称</w:t>
            </w:r>
          </w:p>
        </w:tc>
        <w:tc>
          <w:tcPr>
            <w:tcW w:w="2472"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型号规格</w:t>
            </w:r>
          </w:p>
        </w:tc>
        <w:tc>
          <w:tcPr>
            <w:tcW w:w="71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762"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计量单位</w:t>
            </w:r>
          </w:p>
        </w:tc>
        <w:tc>
          <w:tcPr>
            <w:tcW w:w="85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959" w:type="dxa"/>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裸铜硬线1芯铜线不带外皮裸线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0.75平方  100米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测电笔</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多功能智能感应数显测电笔</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高精度钳形表万用表数字多功能交直流电压钳型电流表钳流表万能表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ST202标配+特尖笔+收纳包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220V家用电源插头线10A16A两脚插头转鳄鱼夹开口10mm鳄鱼夹测试线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2.5平方1米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220V两脚电源插头转鳄鱼夹电源连接线220伏两芯插头护套夹电源线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2.5平方1米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93.75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万用表用鳄鱼夹线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万用表用鳄鱼夹线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41.25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FNIRSI三合一多功能示波器DSO-TC3手持小型晶体管检测信号发生器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DSO-TC3高配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387.50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电线连接器一进二</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一进二出 30只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免焊对接2EDGRK5.08mm空中对插接线端子公母插拔式绿色连接器KP座</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2P整套</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0.88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200个14种规格 开关管/快恢复/整流二极管/肖特基二极管组合套装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发光二极管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高亮度Φ5mm（红）</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0.07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发光二极管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高亮度Φ5mm（绿）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0.07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稳压二极管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15种 1W稳压二极管包 15种共150个(1包)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场效应管TO-220 80A 75V</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P75NF75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单相整流滤波电路套件桥式</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单相整流滤波电路套件桥式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BT33调光电路</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BT33调光电路</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N4007桥式整流器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套件(pcb+元件)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变压器 220V转 双路24V</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30W变压器 220V转 双路24V</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风扇</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交流风扇AC 24V 6cm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475.00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LED小灯220V交流</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 3W（直径:35mm）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整流器桥</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GBJ2510 (10个)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46.89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针脚单相整流桥</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KBPC2510W(10个)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单向可控硅</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BT152-600R  600V10A直插封装TO220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双向可控硅</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BTA16-600B 双向可控硅16A 600V 直插 封装TO220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有源蜂呜器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有源分体(5V)</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金属膜电阻器元件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41种常用 1/4W金属膜电阻包1% 每种20个共820个(1包)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压敏电阻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7D390K (10个)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热敏电阻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5D-9 (20只)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15.65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热敏电阻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20D-9 (20只)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可变电阻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10K</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5W金属膜-50个一件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高职电子电工类专业技能操作考试套件散件实训DIY制作焊接电路板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电子电工类专业套件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188.00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电解电容</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电解电容盒24种480只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瓷片电容器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30种常用瓷片电容包2pf-0.1UF每种10个共300个(1包)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高压瓷片电容器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221 220PF 2000V (50个)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LM358 运算放大器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LM358</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开关电源双输出开关电源正负24V</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D-75系列(功率75W)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输出电压:正负24V</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开关电源</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220转12V  10A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三端稳压管包</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8种各2个 L7805 L7809 7812 7815 LM317等 共16个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TL431A 直插稳压调整三极管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TL431A   TO-92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直流电压电流表数显双显功率检测器万用仪表头DC0-100V0-10A</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YVE7-A直流检测DC0-100v/0-10A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3296W电位器精密可调电阻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500K(504)侧面可调</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USB转网线接口</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USB3.0千兆网卡--银色 【铝合金】</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七段显示译码器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CD4511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0.38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七段显示译码器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74LS48</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共阴极数码管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单数码管  红色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0.56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焊锡膏</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带线 调速电位器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B103 ( 10K)</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带探头数显温度计电子温度传感器冰箱温度计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2秒2米(白) +备用电池</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9.38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光电耦合芯片</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PC817直插</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0.38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光耦测试仪器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四脚光耦测试小板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微动开关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常闭常开二脚 KW 16（5A）250VAC轻触款镀银点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微动开关（常闭点 按下断开松手通电）</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常闭常开二脚 KW 16（5A）250VAC轻触款镀银点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温控开关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KSD301 常闭10A 70度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温控开关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KSD301 常开10A 70度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pt100温度传感器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PT100(A级）引线0.5米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温度变送器模块</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0-150℃ 0-10V</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温度变送器模块</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0-150℃ 4-20MA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一体化温度变送器4-20mA</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0~150℃   4-20mA非显示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步进电机套装驱动器控制器两相微型小型马达</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42BYGH60+TB6600(标准线)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增量式光电旋转编码器AB相</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脉冲: 360  输出方式: NPN  线长: 1米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增量式光电旋转编码器AB相</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脉冲: 400   输出方式: PNP  线长: 1米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增量式光电旋转编码器AB相</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脉冲: 400  输出方式: ABZ三相(NPN)  线长: 1米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得力 双面胶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宽9.5mm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白色PVC片（风管模型制作）</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841*594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（厚0.33mm或重250克/平米）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1.84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828.00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手工剪纸刀</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中号（20cm总长）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111.30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小型裁纸刀</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小号（15cm总长）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卫生间坐便器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坐便A 1：25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593.75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洗脸盆</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经典柱盆 1：25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5.94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891.00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盥洗池</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灶台配件 1：25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5.94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653.40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淋浴花洒</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花洒/1：25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73.56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迷你厨卫水龙头</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A-银色 长条水龙头</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2*0.2/内径1.6mm 1米一根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2.5*0.3/内径2.1mm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4*0.3/内径3.4mm 1米一根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92.60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4.5*0.3/内径3.9mm 1米一根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5*0.5/内径4mm 1米一根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4.88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7*0.5/内径6mm 1米一根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304不锈钢毛细管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9*0.5/内径8mm 1米一根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柔软超细极细屏蔽线2芯信号传输电子线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灰色2芯/外径2毫米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柔软超细极细屏蔽线3芯信号传输电子线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灰色3芯/外径2毫米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3.60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柔软超细极细屏蔽线4芯信号传输电子线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灰色4芯/外径2毫米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柔软超细极细屏蔽线5芯信号传输电子线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灰色5芯/外径2.2毫米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4.80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3v超窄沙盘模型航模演出灯带12v 2.5mm超细</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2.5mm，1米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小型配电箱</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防水配电箱 HT-12回路【IP65级防水】</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30.88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154.40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一开单控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一开双控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二开单控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二开双控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7.28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43.68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五孔插座</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万向两插灯座+5W球泡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灯座+5W球泡</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85.50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86接线盒</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86型、白色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空白面板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86型、白色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电笔</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零火线检测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2P漏电保护器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46.88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234.40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1P漏电保护器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1P空开</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243.90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插头带线 （三插）</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2米 3芯 1平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23.38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116.90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黄绿地线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2.5平，100米，多股</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卷（100米）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高透明水晶滴胶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ab胶水环氧树脂，8kg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498.98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997.96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304不锈钢弹簧钢丝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直径0.25毫米长1米10根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304不锈钢弹簧钢丝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直径1.0毫米长1米10根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304不锈钢弹簧钢丝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直径2.0毫米长1米5根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304不锈钢弹簧钢丝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直径3.0毫米长1米5根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上工正品四用游标卡尺</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四用0-125mm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高透明亚克力板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高透明1200mm*600mm*2mm(1片装)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64.00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2.0mm硬丝（约40米一公斤）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57.26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1.0mm软丝（约156米一公斤）</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30.89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61.78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得力勾刀</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三把装钩刀（含20个刀片）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74.26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不锈钢T型尺</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300x200x3（mm）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得力锯子</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铝合金方管锯架12"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59.38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118.76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高粘度免钉胶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1支120ML【150克】</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桐木条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10mm长50cm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9.40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正版23G101-11 G101系列图集常见问题答疑图解</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ISBN：9787568200561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87.55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87.55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22G101-1 混凝土结构施工图平面整体表示方法制图规则和构造详图（现浇混凝土框架、剪力墙梁板）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ISBN：15506654474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89.13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89.13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22G101-2 混凝土结构施工图平面整体表示方法制图规则和构造详图（现浇混凝土板式楼梯）</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ISBN：15506654475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52.75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52.75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22G101-3 混凝土结构施工图平面整体表示方法制图规则和构造详图（独立基础、条形基础、筏形基础 ）</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ISBN：15506654482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79.13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79.13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18G901-3 混凝土结构施工钢筋排布规则与构造详图</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ISBN：9787802427914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68.13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18G901-2 混凝土结构施工钢筋排布规则与构造详图</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ISBN：9787518208869</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40.38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40.38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18G901-1 混凝土结构施工钢筋排布规则与构造详图</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ISBN：9787802427983</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G310-1~2 装配式混凝土结构连接节点构造 2015合订本</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ISBN：9787518201150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15G107-1 装配式混凝土结构表示方法及示例（剪力墙结构）</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ISBN：9787518201174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56.75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56.75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15J939-1 装配式混凝土结构住宅建筑设计示例（剪力墙结构）</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ISBN：9787518201181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15G365-1 预制混凝土剪力墙外墙板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ISBN：9787518201105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173.03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173.03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15G365-2 预制混凝土剪力墙内墙板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ISBN：9787518201204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185.63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185.63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15G366-1 桁架钢筋混凝土叠合板(60mm厚底板)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ISBN：9787518201112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105.00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15G367-1 预制钢筋混凝土板式楼梯</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ISBN：9787518201198</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64.63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64.63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GB50666-2011混凝土结构工程施工规范</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ISBN：9787112169436</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太阳能发电板板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12V50W</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121.25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太阳能发电板板控制器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10A控制器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131.25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太阳能发电板板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100W12v</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197.00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太阳能发电板板控制器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20A控制器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138.00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照度传感器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RS485 光照，温湿度，co2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太阳能小实验</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太阳能电池模型灯</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太阳能小实验</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太阳能风力发电</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太阳能小实验</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太阳能手工充电宝</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36.13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361.30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智慧消防技术体系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ISBN：9787518214747</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智慧消防概论</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ISBN：9787112300228</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5V土壤湿度传感器模块</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5v</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14.30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114.40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土壤PH传感器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RS484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140.63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140.63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土壤湿度传感器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RS485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101.56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101.56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全新正版 GB/T7588-2020《电梯制造与安装安全规范》解读和实施指南 上下册 中国标准出版社</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ISBN：9787502651305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191.25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191.25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Arduino Uno R3官方开发板+方口线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ATmega328P微控制器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53.48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427.84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面包板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830孔</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6.41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光敏电阻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GL5516</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0.11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光敏电阻</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GL5528</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0.11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发光二极管</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高亮度Φ5mm（红）</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0.07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彩色杜邦线</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公对公-15CM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颜色传感器模块</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TCS230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人体红外感应模块</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HC-SR501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5.63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45.04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温湿度传感器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DHT11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8.53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68.24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超声波测距模块</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HC-SR04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r>
              <w:commentReference w:id="0"/>
            </w:r>
            <w:commentRangeStart w:id="1"/>
            <w:commentRangeStart w:id="2"/>
            <w:r>
              <w:commentReference w:id="1"/>
            </w:r>
            <w:commentRangeEnd w:id="1"/>
            <w:commentRangeEnd w:id="2"/>
            <w:r>
              <w:commentReference w:id="2"/>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7.34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58.72</w:t>
            </w:r>
            <w:r>
              <w:commentReference w:id="3"/>
            </w:r>
            <w:r>
              <w:rPr>
                <w:rFonts w:hint="eastAsia" w:ascii="宋体" w:hAnsi="宋体" w:eastAsia="宋体" w:cs="宋体"/>
                <w:i w:val="0"/>
                <w:iCs w:val="0"/>
                <w:color w:val="auto"/>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金属膜电阻器，25种常用电阻一件500个，每种20个</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10Ω、22Ω、47Ω、100Ω、200Ω、330Ω、510Ω、680Ω、1kΩ、1.2kΩ、2kΩ、3.3kΩ、3.9kΩ、4.7kΩ、5.1kΩ、10kΩ、20kΩ、47kΩ、51kΩ、68kΩ、100kΩ、220kΩ、300kΩ、470kΩ、680kΩ，每种20个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9.04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霍尔元件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A3144E，5个一件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4.23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12.69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霍尔元件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Y3144，5个一件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4.26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12.78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霍尔元件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SH41，5个一件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线性霍尔元件</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AH3503，5个一件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3.49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10.47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小磁钢吸铁石</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直径8mm*厚1.5mm，20个一件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7.15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7.15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工具箱</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20*35*18（cm）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46.75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93.50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电梯称重探头</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三根接线，模拟量信号</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72.50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电梯平层感应器</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DAA629F感应器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86.25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电梯光幕</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通用型G1A1-609A红外线感应器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190.00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小梯子</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三台阶小梯子</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87.50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87.50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直条镀锌铁丝</w:t>
            </w:r>
          </w:p>
        </w:tc>
        <w:tc>
          <w:tcPr>
            <w:tcW w:w="2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直径2mm，单根长2米，镀锌，调直</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1.60 </w:t>
            </w:r>
          </w:p>
        </w:tc>
        <w:tc>
          <w:tcPr>
            <w:tcW w:w="95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77" w:type="dxa"/>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342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直条螺纹钢</w:t>
            </w:r>
          </w:p>
        </w:tc>
        <w:tc>
          <w:tcPr>
            <w:tcW w:w="247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带螺纹，直径4mm，单根长2米</w:t>
            </w:r>
          </w:p>
        </w:tc>
        <w:tc>
          <w:tcPr>
            <w:tcW w:w="71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76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85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9.00 </w:t>
            </w:r>
          </w:p>
        </w:tc>
        <w:tc>
          <w:tcPr>
            <w:tcW w:w="959"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1080.00 </w:t>
            </w:r>
          </w:p>
        </w:tc>
      </w:tr>
    </w:tbl>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4-11-20T09:45:00Z" w:initials="">
    <w:p w14:paraId="57E71FE4">
      <w:pPr>
        <w:pStyle w:val="2"/>
      </w:pPr>
    </w:p>
  </w:comment>
  <w:comment w:id="1" w:author="Lenovo" w:date="2024-11-20T09:45:00Z" w:initials="">
    <w:p w14:paraId="00170EA2">
      <w:pPr>
        <w:pStyle w:val="2"/>
      </w:pPr>
    </w:p>
  </w:comment>
  <w:comment w:id="2" w:author="Lenovo" w:date="2024-11-20T09:45:00Z" w:initials="">
    <w:p w14:paraId="5BFC14FA">
      <w:pPr>
        <w:pStyle w:val="2"/>
      </w:pPr>
    </w:p>
  </w:comment>
  <w:comment w:id="3" w:author="Lenovo" w:date="2024-11-20T09:45:00Z" w:initials="">
    <w:p w14:paraId="3D8C71A6">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E71FE4" w15:done="0"/>
  <w15:commentEx w15:paraId="00170EA2" w15:done="0"/>
  <w15:commentEx w15:paraId="5BFC14FA" w15:done="0"/>
  <w15:commentEx w15:paraId="3D8C71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WPS Office" w15:userId="68898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50759"/>
    <w:rsid w:val="22877132"/>
    <w:rsid w:val="4D2A77D2"/>
    <w:rsid w:val="5155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qFormat/>
    <w:uiPriority w:val="0"/>
    <w:rPr>
      <w:rFonts w:ascii="Calibri" w:hAnsi="Calibri" w:cs="宋体"/>
      <w:kern w:val="2"/>
      <w:sz w:val="21"/>
      <w:szCs w:val="24"/>
      <w:lang w:val="en-US" w:eastAsia="zh-CN" w:bidi="ar-SA"/>
    </w:rPr>
  </w:style>
  <w:style w:type="paragraph" w:customStyle="1" w:styleId="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2024-11-20T02:39:00Z</dcterms:created>
  <dc:creator>Lenovo</dc:creator>
  <cp:lastModifiedBy>XH.H</cp:lastModifiedBy>
  <dcterms:modified xsi:type="dcterms:W3CDTF">2024-11-20T06:21:10Z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A148A7A527DD41A78B24C03A211AB968</vt:lpwstr>
  </property>
</Properties>
</file>