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pict>
          <v:shape id="_x0000_i1025" o:spt="136" type="#_x0000_t136" style="height:59.55pt;width:415pt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中共福州职业技术学院委员会文件" style="font-family:宋体;font-size:36pt;v-text-align:center;"/>
            <w10:wrap type="none"/>
            <w10:anchorlock/>
          </v:shape>
        </w:pic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adjustRightInd w:val="0"/>
        <w:snapToGrid w:val="0"/>
        <w:ind w:firstLine="320" w:firstLineChars="10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榕职院党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〔2017〕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/>
        </w:rPr>
        <w:pict>
          <v:line id="_x0000_s1030" o:spid="_x0000_s1030" o:spt="20" style="position:absolute;left:0pt;margin-left:0pt;margin-top:8.2pt;height:0pt;width:442.4pt;z-index:251662336;mso-width-relative:page;mso-height-relative:page;" filled="f" stroked="t" coordsize="21600,21600" o:gfxdata="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M8FZ1wAAAAYBAAAPAAAAAAAAAAEAIAAAACIAAABk&#10;cnMvZG93bnJldi54bWxQSwECFAAUAAAACACHTuJAUr99ns4BAACOAwAADgAAAAAAAAABACAAAAAm&#10;AQAAZHJzL2Uyb0RvYy54bWxQSwUGAAAAAAYABgBZAQAAZgUAAAAA&#10;">
            <v:path arrowok="t"/>
            <v:fill on="f" focussize="0,0"/>
            <v:stroke weight="3pt" color="#FF0000"/>
            <v:imagedata o:title=""/>
            <o:lock v:ext="edit" aspectratio="f"/>
          </v:line>
        </w:pic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中共福州职业技术学院委员会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3"/>
          <w:sz w:val="36"/>
          <w:szCs w:val="36"/>
        </w:rPr>
        <w:t>印发《关于开展“学俊波，我践行”主题实践活动方案》的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通知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各党总支、直属党支部：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现将《关于开展“学俊波，我践行”主题实践活动方案》印发给你们，请结合实际认真贯彻执行。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中共福州职业技术学院委员会</w:t>
      </w:r>
    </w:p>
    <w:p>
      <w:pPr>
        <w:spacing w:line="560" w:lineRule="exact"/>
        <w:ind w:firstLine="5400" w:firstLineChars="1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400" w:lineRule="exact"/>
        <w:ind w:right="-154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Cs w:val="32"/>
        </w:rPr>
        <w:t xml:space="preserve"> </w:t>
      </w:r>
      <w:r>
        <w:rPr>
          <w:rFonts w:ascii="仿宋_GB2312" w:eastAsia="仿宋_GB2312"/>
          <w:snapToGrid w:val="0"/>
          <w:kern w:val="0"/>
          <w:sz w:val="28"/>
          <w:szCs w:val="28"/>
        </w:rPr>
        <w:pict>
          <v:line id="_x0000_s1026" o:spid="_x0000_s1026" o:spt="20" style="position:absolute;left:0pt;margin-left:-7.9pt;margin-top:0pt;height:0.05pt;width:446.9pt;z-index:251658240;mso-width-relative:page;mso-height-relative:page;" coordsize="21600,21600" o:gfxdata="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WpcBf0wAAAAUBAAAPAAAAAAAAAAEAIAAAACIAAABkcnMv&#10;ZG93bnJldi54bWxQSwECFAAUAAAACACHTuJAyccH4M8BAACQAwAADgAAAAAAAAABACAAAAAiAQAA&#10;ZHJzL2Uyb0RvYy54bWxQSwUGAAAAAAYABgBZAQAAYwUAAAAA&#10;">
            <v:path arrowok="t"/>
            <v:fill focussize="0,0"/>
            <v:stroke weight="2pt"/>
            <v:imagedata o:title=""/>
            <o:lock v:ext="edit"/>
          </v:line>
        </w:pict>
      </w:r>
      <w:r>
        <w:rPr>
          <w:rFonts w:ascii="仿宋_GB2312" w:eastAsia="仿宋_GB2312"/>
          <w:snapToGrid w:val="0"/>
          <w:kern w:val="0"/>
          <w:sz w:val="28"/>
          <w:szCs w:val="28"/>
        </w:rPr>
        <w:pict>
          <v:line id="直线 3" o:spid="_x0000_s1028" o:spt="20" style="position:absolute;left:0pt;margin-left:-7.9pt;margin-top:0pt;height:0pt;width:442.4pt;z-index:251660288;mso-width-relative:page;mso-height-relative:page;" coordsize="21600,21600" o:gfxdata="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jgqE/UAAAABQEAAA8AAAAAAAAAAQAgAAAAIgAAAGRycy9k&#10;b3ducmV2LnhtbFBLAQIUABQAAAAIAIdO4kBDgBZqzQEAAI4DAAAOAAAAAAAAAAEAIAAAACMBAABk&#10;cnMvZTJvRG9jLnhtbFBLBQYAAAAABgAGAFkBAABi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 xml:space="preserve"> 福州职业技术学院党委工作部            2017年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日印发</w:t>
      </w:r>
    </w:p>
    <w:p>
      <w:pPr>
        <w:spacing w:line="200" w:lineRule="exac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pict>
          <v:line id="直线 4" o:spid="_x0000_s1027" o:spt="20" style="position:absolute;left:0pt;margin-left:-7.9pt;margin-top:0pt;height:0.8pt;width:447.6pt;z-index:251659264;mso-width-relative:page;mso-height-relative:page;" coordsize="21600,21600" o:gfxdata="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DdK7VAAAABgEAAA8AAAAAAAAAAQAgAAAAIgAA&#10;AGRycy9kb3ducmV2LnhtbFBLAQIUABQAAAAIAIdO4kCVILS00gEAAJIDAAAOAAAAAAAAAAEAIAAA&#10;ACQBAABkcnMvZTJvRG9jLnhtbFBLBQYAAAAABgAGAFkBAABoBQAAAAA=&#10;">
            <v:path arrowok="t"/>
            <v:fill focussize="0,0"/>
            <v:stroke weight="2pt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关于开展“学俊波，我践行”主题实践活动方案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中共福州市委办公厅印发的《关于开展“学俊波，我践行”主题实践活动方案》，为进一步深入学习廖俊波同志先进事迹，深入贯彻落实习近平总书记重要指示精神、中共中央《决定》、刘云山同志在福建调研时的重要讲话及省委《通知》精神，结合我院实际，现就在全院开展“学俊波，我践行”主题实践活动制定如下方案。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一、活动主题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学俊波，我践行</w:t>
      </w:r>
    </w:p>
    <w:p>
      <w:pPr>
        <w:spacing w:line="50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二、参加对象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全院各基层党组织和全体党员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三、目标任务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切实把学习廖俊波同志先进事迹纳入推进“两学一做”学习教育常态化制度化重要内容，教育引导全院师生党员、干部学习弘扬廖俊波同志对党忠诚、心系群众、忘我工作、无私奉献的优秀品质和崇高精神，对标先进、见贤思齐，进一步牢固树立政治意识、大局意识、核心意识，看齐意识，强化责任担当，激发干事创业热情，凝心聚力为学院中心工作建设作出新的更大贡献，以优异成绩迎接党的十九大胜利召开。</w:t>
      </w:r>
    </w:p>
    <w:p>
      <w:pPr>
        <w:spacing w:line="50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四、主要内容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(一)坚持对标看齐，进一步学先进、找差距、明方向。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认真组织开展“学习贯彻习近平总书记重要指示精神，深入开展向廖俊波同志学习”主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题学习讨论，对照“四讲四有”合格党员标准和“四个合格”要求，引导党员、干部搞清楚、弄明白学什么、怎么学。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以党支部为单位，重点围绕坚定理想信念、对党绝对忠诚，全心全意为人民服务，敢担、敢负责、敢作为，清清白白做人、干干净净做事四个主题开展专题学习。每个主题可安排若干名党员作重点发言，其他党员互动交流，并做好相关会议记录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坚持远学谷文昌、近学廖俊波，以先进典型为镜，找差距、明不足，教育引导每位党员、干部都要把廖俊波同志作为一面镜子，联系各自实际，把查找问题的核心放在个性问题上，突出查找与本职岗位结合紧密的问题、严重影响本院（部）建设发展的问题，一个一个环节排查、一项一项工作对照，切实找准穴位、抓住要害，进一步明确努力方向，自觉见贤思齐，增强为师生多办实事、多做好事的情感和责任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以党支部为单位，根据实际情况，自主确定活动内容，集中开展一次“学俊波，我践行”主题党日活动，教育引导广大党员在活动中学先进、做先进。党委组织召开一次党委会，听取学习开展情况，指导下一步工作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(二)坚持知行合一，进一步抓攻坚、作表率、当先锋。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基层党组织要把学习廖俊波同志与学院各项工作结合起来，教育引导广大党员、干部学习廖俊波同志“认准的事，背着石头上山也要干”精神，扑下身子干实事，敢挑最重的担子、敢啃最硬的骨头，在省级示范校建设、“攻坚2017行动”、创新创业教育、争创全国优质校等学院重点工作中展示先锋形象，发挥模范作用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1.在学院重点工作中设立党员“攻坚队”、“示范岗”、“责任区”，推动党员干部立足岗位作贡献、带头争创业绩。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廖俊波同志“工作能在现场就不在会场”精神，大力推行“领导在现场指挥、干部在现场干事、情况在现场了解、问题在现场解决、工作在现场落实、感情在现场融洽、水平在现场检验”七个现场工作法，全面提升工作效率和质量，确保学院各项工作提速增效。</w:t>
      </w:r>
    </w:p>
    <w:p>
      <w:pPr>
        <w:spacing w:line="5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3.把抓党建与促脱贫攻坚紧密结合起来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基层党组织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要落实《福州市教育局转发&lt;关于进一步落实志愿者走进贫困户开展助力“精准扶贫”志愿服务活动的通知&gt;的通知》文件精神，组织党员志愿者走进贫困户，大力开展“精准扶贫”志愿服务。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(三)坚持深入一线，进一步强服务、转作风。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各基层党组织要以开展“学俊波，我践行”主题实践活动为契机，教育引导党员、干部坚持为师生服务，转变工作作风，始终做到一心为师生、一心为基层。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1.大力弘扬“马上就办、真抓实干”优良作风，领导干部及时深入基层一线，倾听师生意见，及时发现问题，积极破解难题，有效推进工作。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各基层党组织每年至少组织1次党员干部到廉政教育基地接受教育，引导广大党员像廖俊波同志那样清清白白做人，干干净净做事，自觉践行共产党人价值观，始终做到一身正气、两袖清风，坚守共产党人精神家园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(四)坚持正向激励，进一步树导向、重关爱、提精神。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学院党委要真情关怀、真心爱护基层干部，进一步优化基层干部工作环境和成长条件，在政治上、工作上、生活上关心关爱基层干部。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1.学院组织人事部门对学院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因公殉职基层干部和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所有基层干部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家庭情况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全面开展一次大摸底;学院领导班子对分管、联系的基层干部开展一次谈心谈话，了解关心他们的思想、工作和生活情况。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2.要严格学校中层干部的选用和管理，坚持在一线发现干部、考核干部，及时把廖俊波式的好干部发现出来、使用起来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pict>
          <v:shape id="_x0000_s1031" o:spid="_x0000_s1031" o:spt="75" type="#_x0000_t75" style="position:absolute;left:0pt;margin-left:372.95pt;margin-top:15.9pt;height:59.25pt;width:68.25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square"/>
          </v:shape>
          <o:OLEObject Type="Embed" ProgID="Excel.Sheet.12" ShapeID="_x0000_s1031" DrawAspect="Icon" ObjectID="_1468075725" r:id="rId7">
            <o:LockedField>false</o:LockedField>
          </o:OLEObject>
        </w:pic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“学俊波，我践行”主题实践活动工作任务分解表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2.因公殉职基层干部家庭情况调查表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br w:type="page"/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ascii="宋体"/>
          <w:sz w:val="44"/>
        </w:rPr>
      </w:pPr>
      <w:r>
        <w:rPr>
          <w:rFonts w:hint="eastAsia" w:ascii="宋体" w:hAnsi="宋体"/>
          <w:sz w:val="44"/>
        </w:rPr>
        <w:t>因公殉职基层干部家庭情况调查表</w:t>
      </w:r>
    </w:p>
    <w:p>
      <w:pPr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单位：</w:t>
      </w:r>
      <w:r>
        <w:rPr>
          <w:rFonts w:ascii="仿宋_GB2312" w:hAnsi="仿宋_GB2312" w:eastAsia="仿宋_GB2312"/>
          <w:sz w:val="32"/>
        </w:rPr>
        <w:t xml:space="preserve">                     </w:t>
      </w:r>
      <w:r>
        <w:rPr>
          <w:rFonts w:hint="eastAsia" w:ascii="仿宋_GB2312" w:hAnsi="仿宋_GB2312" w:eastAsia="仿宋_GB2312"/>
          <w:sz w:val="32"/>
        </w:rPr>
        <w:t>填表时间：</w:t>
      </w:r>
      <w:r>
        <w:rPr>
          <w:rFonts w:ascii="仿宋_GB2312" w:hAnsi="仿宋_GB2312" w:eastAsia="仿宋_GB2312"/>
          <w:sz w:val="32"/>
        </w:rPr>
        <w:t>2017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日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因公殉职</w:t>
            </w:r>
          </w:p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干部姓名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家属姓名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家庭情况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备</w:t>
            </w:r>
            <w:r>
              <w:rPr>
                <w:rFonts w:ascii="仿宋_GB2312" w:hAnsi="仿宋_GB2312" w:eastAsia="仿宋_GB2312"/>
                <w:sz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rPr>
          <w:rFonts w:ascii="仿宋_GB2312" w:hAnsi="仿宋_GB2312" w:eastAsia="仿宋_GB2312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4" w:type="default"/>
      <w:footerReference r:id="rId5" w:type="default"/>
      <w:footnotePr>
        <w:numFmt w:val="decimal"/>
      </w:footnote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529"/>
    <w:rsid w:val="004F422F"/>
    <w:rsid w:val="008252AC"/>
    <w:rsid w:val="00A16B57"/>
    <w:rsid w:val="00AA1529"/>
    <w:rsid w:val="00B118AE"/>
    <w:rsid w:val="03916367"/>
    <w:rsid w:val="0664634C"/>
    <w:rsid w:val="066A15EE"/>
    <w:rsid w:val="07632B72"/>
    <w:rsid w:val="08615159"/>
    <w:rsid w:val="08D47CE4"/>
    <w:rsid w:val="0B26444A"/>
    <w:rsid w:val="0BE416CE"/>
    <w:rsid w:val="0FCA0EA7"/>
    <w:rsid w:val="0FED38EE"/>
    <w:rsid w:val="11A97598"/>
    <w:rsid w:val="129427A7"/>
    <w:rsid w:val="13503889"/>
    <w:rsid w:val="14D54F19"/>
    <w:rsid w:val="14E8108E"/>
    <w:rsid w:val="15001043"/>
    <w:rsid w:val="163C5E45"/>
    <w:rsid w:val="168B6AA9"/>
    <w:rsid w:val="177323B4"/>
    <w:rsid w:val="17B67350"/>
    <w:rsid w:val="180D02EB"/>
    <w:rsid w:val="19466E2B"/>
    <w:rsid w:val="1961771E"/>
    <w:rsid w:val="1BC266F6"/>
    <w:rsid w:val="1C4309BC"/>
    <w:rsid w:val="1C496D35"/>
    <w:rsid w:val="1C8A1F52"/>
    <w:rsid w:val="1D5571BF"/>
    <w:rsid w:val="1D5B2CBD"/>
    <w:rsid w:val="1E7706F7"/>
    <w:rsid w:val="1FB5605D"/>
    <w:rsid w:val="1FFD33F4"/>
    <w:rsid w:val="217F56A8"/>
    <w:rsid w:val="22D776B3"/>
    <w:rsid w:val="237336B0"/>
    <w:rsid w:val="24F7105F"/>
    <w:rsid w:val="256A51E9"/>
    <w:rsid w:val="267E2275"/>
    <w:rsid w:val="26B636B7"/>
    <w:rsid w:val="27696622"/>
    <w:rsid w:val="28D24F02"/>
    <w:rsid w:val="29515A67"/>
    <w:rsid w:val="2A4E7A1A"/>
    <w:rsid w:val="2BF740A0"/>
    <w:rsid w:val="2DB41899"/>
    <w:rsid w:val="304E7695"/>
    <w:rsid w:val="30840C09"/>
    <w:rsid w:val="31187B49"/>
    <w:rsid w:val="339C0BAD"/>
    <w:rsid w:val="33C262FD"/>
    <w:rsid w:val="341B272B"/>
    <w:rsid w:val="35B029C3"/>
    <w:rsid w:val="35FA7B64"/>
    <w:rsid w:val="36D81236"/>
    <w:rsid w:val="37653996"/>
    <w:rsid w:val="3B492AB2"/>
    <w:rsid w:val="3BE856A9"/>
    <w:rsid w:val="4064591A"/>
    <w:rsid w:val="414A2672"/>
    <w:rsid w:val="41B65F3B"/>
    <w:rsid w:val="422A6388"/>
    <w:rsid w:val="42A83E2D"/>
    <w:rsid w:val="42CD068E"/>
    <w:rsid w:val="43071A54"/>
    <w:rsid w:val="44920526"/>
    <w:rsid w:val="4783090E"/>
    <w:rsid w:val="478A515B"/>
    <w:rsid w:val="478B466B"/>
    <w:rsid w:val="496902D6"/>
    <w:rsid w:val="4ABD3868"/>
    <w:rsid w:val="4DE575EA"/>
    <w:rsid w:val="4ECE285B"/>
    <w:rsid w:val="52D76E18"/>
    <w:rsid w:val="53D159BC"/>
    <w:rsid w:val="544A5BE9"/>
    <w:rsid w:val="55621825"/>
    <w:rsid w:val="56A81511"/>
    <w:rsid w:val="59235DEB"/>
    <w:rsid w:val="59980748"/>
    <w:rsid w:val="59FE19D7"/>
    <w:rsid w:val="5A681C80"/>
    <w:rsid w:val="5BDD4029"/>
    <w:rsid w:val="5C06403C"/>
    <w:rsid w:val="5F096A07"/>
    <w:rsid w:val="61480772"/>
    <w:rsid w:val="61A34F48"/>
    <w:rsid w:val="62AD64AB"/>
    <w:rsid w:val="637F5EDA"/>
    <w:rsid w:val="64857394"/>
    <w:rsid w:val="64B97ACC"/>
    <w:rsid w:val="64FA2555"/>
    <w:rsid w:val="65CC33D3"/>
    <w:rsid w:val="67DE199E"/>
    <w:rsid w:val="6AD4442C"/>
    <w:rsid w:val="6CDF182A"/>
    <w:rsid w:val="6E712F05"/>
    <w:rsid w:val="708112BD"/>
    <w:rsid w:val="71AD27CC"/>
    <w:rsid w:val="74215575"/>
    <w:rsid w:val="74671F3A"/>
    <w:rsid w:val="75C820A6"/>
    <w:rsid w:val="7662312E"/>
    <w:rsid w:val="76A34D98"/>
    <w:rsid w:val="772D00C8"/>
    <w:rsid w:val="77A6243D"/>
    <w:rsid w:val="79980DEA"/>
    <w:rsid w:val="79A656C4"/>
    <w:rsid w:val="7A4C34E8"/>
    <w:rsid w:val="7A7A6105"/>
    <w:rsid w:val="7A7A6A2A"/>
    <w:rsid w:val="7A931717"/>
    <w:rsid w:val="7BA04807"/>
    <w:rsid w:val="7C890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9">
    <w:name w:val="Char"/>
    <w:basedOn w:val="1"/>
    <w:semiHidden/>
    <w:qFormat/>
    <w:uiPriority w:val="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49"/>
    <customShpInfo spid="_x0000_s1030"/>
    <customShpInfo spid="_x0000_s1026"/>
    <customShpInfo spid="_x0000_s1028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327</Words>
  <Characters>1870</Characters>
  <Lines>15</Lines>
  <Paragraphs>4</Paragraphs>
  <ScaleCrop>false</ScaleCrop>
  <LinksUpToDate>false</LinksUpToDate>
  <CharactersWithSpaces>2193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DELL-001</cp:lastModifiedBy>
  <cp:lastPrinted>2017-08-04T06:30:00Z</cp:lastPrinted>
  <dcterms:modified xsi:type="dcterms:W3CDTF">2017-09-12T03:01:46Z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