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 w:val="28"/>
          <w:szCs w:val="28"/>
          <w:lang w:val="en-US" w:eastAsia="zh-CN"/>
        </w:rPr>
      </w:pPr>
      <w:bookmarkStart w:id="0" w:name="_Toc3261"/>
      <w:bookmarkStart w:id="1" w:name="_Toc6176"/>
      <w:r>
        <w:rPr>
          <w:rFonts w:hint="eastAsia" w:ascii="宋体" w:hAnsi="宋体"/>
          <w:b/>
          <w:bCs/>
          <w:color w:val="auto"/>
          <w:sz w:val="28"/>
          <w:szCs w:val="28"/>
        </w:rPr>
        <w:t>福州职业技术学院窗帘采购项目</w:t>
      </w:r>
      <w:r>
        <w:rPr>
          <w:rFonts w:hint="eastAsia" w:ascii="宋体" w:hAnsi="宋体"/>
          <w:b/>
          <w:bCs/>
          <w:color w:val="auto"/>
          <w:sz w:val="28"/>
          <w:szCs w:val="28"/>
          <w:lang w:val="en-US" w:eastAsia="zh-CN"/>
        </w:rPr>
        <w:t>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，福建盛鑫招标代理有限公司采用网上竞价采购方式组织实施本次项目的采购，现邀请合格的供应商参加网上竞价。</w:t>
      </w:r>
      <w:bookmarkStart w:id="10" w:name="_GoBack"/>
      <w:bookmarkEnd w:id="10"/>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4031</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项目名称：福州职业技术学院窗帘采购项目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4.报名起止时间：2024年11月21日9：00-2024年11月25日17:00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26</w:t>
      </w:r>
      <w:r>
        <w:rPr>
          <w:rFonts w:hint="eastAsia" w:ascii="宋体" w:hAnsi="宋体"/>
          <w:b/>
          <w:bCs/>
          <w:color w:val="auto"/>
          <w:sz w:val="21"/>
          <w:szCs w:val="21"/>
        </w:rPr>
        <w:t>日</w:t>
      </w:r>
      <w:r>
        <w:rPr>
          <w:rFonts w:hint="eastAsia" w:ascii="宋体" w:hAnsi="宋体"/>
          <w:b/>
          <w:bCs/>
          <w:color w:val="auto"/>
          <w:sz w:val="21"/>
          <w:szCs w:val="21"/>
          <w:lang w:val="en-US" w:eastAsia="zh-CN"/>
        </w:rPr>
        <w:t>14</w:t>
      </w:r>
      <w:r>
        <w:rPr>
          <w:rFonts w:hint="eastAsia" w:ascii="宋体" w:hAnsi="宋体"/>
          <w:b/>
          <w:bCs/>
          <w:color w:val="auto"/>
          <w:sz w:val="21"/>
          <w:szCs w:val="21"/>
        </w:rPr>
        <w:t>:00-1</w:t>
      </w:r>
      <w:r>
        <w:rPr>
          <w:rFonts w:hint="eastAsia" w:ascii="宋体" w:hAnsi="宋体"/>
          <w:b/>
          <w:bCs/>
          <w:color w:val="auto"/>
          <w:sz w:val="21"/>
          <w:szCs w:val="21"/>
          <w:lang w:val="en-US" w:eastAsia="zh-CN"/>
        </w:rPr>
        <w:t>6</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叶老师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联系电话：0591-83760867</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3"/>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140400460"/>
            <w:bookmarkStart w:id="7" w:name="_Toc385840944"/>
            <w:bookmarkStart w:id="8" w:name="_Toc140042883"/>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福州职业技术学院</w:t>
            </w:r>
            <w:r>
              <w:rPr>
                <w:rFonts w:hint="eastAsia" w:ascii="宋体" w:hAnsi="宋体" w:eastAsia="宋体" w:cs="宋体"/>
                <w:color w:val="auto"/>
                <w:kern w:val="0"/>
                <w:sz w:val="21"/>
                <w:szCs w:val="21"/>
                <w:highlight w:val="none"/>
                <w:lang w:val="en-US" w:eastAsia="zh-CN"/>
              </w:rPr>
              <w:t>窗帘采购项目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96329</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kern w:val="0"/>
                <w:sz w:val="21"/>
                <w:szCs w:val="21"/>
                <w:u w:val="none"/>
                <w:lang w:val="en-US" w:eastAsia="zh-CN" w:bidi="ar"/>
              </w:rPr>
              <w:t>96329</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玖万陆仟叁佰贰拾玖元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kern w:val="0"/>
                <w:sz w:val="21"/>
                <w:szCs w:val="21"/>
                <w:u w:val="none"/>
                <w:lang w:val="en-US" w:eastAsia="zh-CN" w:bidi="ar"/>
              </w:rPr>
              <w:t>96329</w:t>
            </w:r>
            <w:r>
              <w:rPr>
                <w:rFonts w:hint="eastAsia" w:ascii="宋体" w:hAnsi="宋体" w:eastAsia="宋体" w:cs="宋体"/>
                <w:color w:val="auto"/>
                <w:kern w:val="0"/>
                <w:sz w:val="21"/>
                <w:szCs w:val="21"/>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numPr>
                <w:ilvl w:val="0"/>
                <w:numId w:val="0"/>
              </w:numPr>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bCs/>
                <w:color w:val="auto"/>
                <w:sz w:val="21"/>
                <w:szCs w:val="21"/>
                <w:highlight w:val="none"/>
                <w:lang w:eastAsia="zh-CN"/>
              </w:rPr>
              <w:t>。</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2、产品安装结束后采购人保留对货物随机抽检的权力，可要求竞价人将货物送至有资质的检验机构进行复检其是否符合技术参数要求，检验费用包含在报价中。</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2"/>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26</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14:00-16:00（北京时间）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2"/>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5"/>
          <w:rFonts w:ascii="宋体" w:hAnsi="宋体"/>
          <w:color w:val="auto"/>
          <w:kern w:val="0"/>
          <w:sz w:val="21"/>
          <w:szCs w:val="21"/>
          <w:highlight w:val="none"/>
        </w:rPr>
      </w:pPr>
      <w:r>
        <w:rPr>
          <w:rFonts w:hint="eastAsia"/>
          <w:color w:val="auto"/>
          <w:szCs w:val="21"/>
          <w:highlight w:val="none"/>
          <w:lang w:val="en-US" w:eastAsia="zh-CN"/>
        </w:rPr>
        <w:t>5、</w:t>
      </w:r>
      <w:r>
        <w:rPr>
          <w:rStyle w:val="5"/>
          <w:rFonts w:ascii="宋体" w:hAnsi="宋体"/>
          <w:color w:val="auto"/>
          <w:kern w:val="0"/>
          <w:sz w:val="21"/>
          <w:szCs w:val="21"/>
          <w:highlight w:val="none"/>
        </w:rPr>
        <w:t>有下列情形之一的，视为竞价人相互串通竞价</w:t>
      </w:r>
      <w:r>
        <w:rPr>
          <w:rStyle w:val="5"/>
          <w:rFonts w:hint="eastAsia" w:ascii="宋体" w:hAnsi="宋体"/>
          <w:color w:val="auto"/>
          <w:kern w:val="0"/>
          <w:sz w:val="21"/>
          <w:szCs w:val="21"/>
          <w:highlight w:val="none"/>
        </w:rPr>
        <w:t>，其竞价结果无效</w:t>
      </w:r>
      <w:r>
        <w:rPr>
          <w:rStyle w:val="5"/>
          <w:rFonts w:ascii="宋体" w:hAnsi="宋体"/>
          <w:color w:val="auto"/>
          <w:kern w:val="0"/>
          <w:sz w:val="21"/>
          <w:szCs w:val="21"/>
          <w:highlight w:val="none"/>
        </w:rPr>
        <w:t>:</w:t>
      </w:r>
    </w:p>
    <w:p>
      <w:pPr>
        <w:spacing w:line="240" w:lineRule="auto"/>
        <w:ind w:firstLine="420" w:firstLineChars="200"/>
        <w:jc w:val="left"/>
        <w:rPr>
          <w:rStyle w:val="5"/>
          <w:rFonts w:ascii="宋体" w:hAnsi="宋体"/>
          <w:color w:val="auto"/>
          <w:kern w:val="0"/>
          <w:sz w:val="21"/>
          <w:szCs w:val="21"/>
          <w:highlight w:val="none"/>
        </w:rPr>
      </w:pPr>
      <w:r>
        <w:rPr>
          <w:rStyle w:val="5"/>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5"/>
          <w:rFonts w:ascii="宋体" w:hAnsi="宋体"/>
          <w:color w:val="auto"/>
          <w:kern w:val="0"/>
          <w:sz w:val="21"/>
          <w:szCs w:val="21"/>
          <w:highlight w:val="none"/>
        </w:rPr>
      </w:pPr>
      <w:r>
        <w:rPr>
          <w:rStyle w:val="5"/>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5"/>
          <w:rFonts w:ascii="宋体" w:hAnsi="宋体"/>
          <w:color w:val="auto"/>
          <w:kern w:val="0"/>
          <w:sz w:val="21"/>
          <w:szCs w:val="21"/>
          <w:highlight w:val="none"/>
        </w:rPr>
      </w:pPr>
      <w:r>
        <w:rPr>
          <w:rStyle w:val="5"/>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5"/>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1400.00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3"/>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 w:hRule="atLeast"/>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rPr>
            </w:pPr>
            <w:r>
              <w:rPr>
                <w:rFonts w:hint="default" w:ascii="宋体" w:hAnsi="宋体" w:eastAsia="宋体" w:cs="宋体"/>
                <w:color w:val="auto"/>
                <w:kern w:val="0"/>
                <w:sz w:val="21"/>
                <w:szCs w:val="21"/>
                <w:highlight w:val="none"/>
                <w:lang w:val="en-US" w:eastAsia="zh-CN"/>
              </w:rPr>
              <w:t>福州职业技术学院</w:t>
            </w:r>
            <w:r>
              <w:rPr>
                <w:rFonts w:hint="eastAsia" w:ascii="宋体" w:hAnsi="宋体" w:eastAsia="宋体" w:cs="宋体"/>
                <w:color w:val="auto"/>
                <w:kern w:val="0"/>
                <w:sz w:val="21"/>
                <w:szCs w:val="21"/>
                <w:highlight w:val="none"/>
                <w:lang w:val="en-US" w:eastAsia="zh-CN"/>
              </w:rPr>
              <w:t>窗帘采购项目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96329</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kern w:val="0"/>
                <w:sz w:val="21"/>
                <w:szCs w:val="21"/>
                <w:u w:val="none"/>
                <w:lang w:val="en-US" w:eastAsia="zh-CN" w:bidi="ar"/>
              </w:rPr>
              <w:t>96329</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玖万陆仟叁佰贰拾玖元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i w:val="0"/>
                <w:iCs w:val="0"/>
                <w:color w:val="auto"/>
                <w:kern w:val="0"/>
                <w:sz w:val="21"/>
                <w:szCs w:val="21"/>
                <w:u w:val="none"/>
                <w:lang w:val="en-US" w:eastAsia="zh-CN" w:bidi="ar"/>
              </w:rPr>
              <w:t>96329</w:t>
            </w:r>
            <w:r>
              <w:rPr>
                <w:rFonts w:hint="eastAsia" w:ascii="宋体" w:hAnsi="宋体" w:eastAsia="宋体" w:cs="宋体"/>
                <w:color w:val="auto"/>
                <w:kern w:val="0"/>
                <w:sz w:val="21"/>
                <w:szCs w:val="21"/>
                <w:highlight w:val="none"/>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rHeight w:val="570" w:hRule="atLeast"/>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numPr>
                <w:ilvl w:val="0"/>
                <w:numId w:val="2"/>
              </w:numPr>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bCs/>
                <w:color w:val="auto"/>
                <w:sz w:val="21"/>
                <w:szCs w:val="21"/>
                <w:highlight w:val="none"/>
                <w:lang w:eastAsia="zh-CN"/>
              </w:rPr>
              <w:t>。</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2、产品安装结束后采购人保留对货物随机抽检的权力，可要求竞价人将货物送至有资质的检验机构进行复检其是否符合技术参数要求，检验费用包含在报价中。</w:t>
            </w:r>
          </w:p>
        </w:tc>
      </w:tr>
    </w:tbl>
    <w:p>
      <w:pPr>
        <w:pStyle w:val="6"/>
        <w:spacing w:line="360" w:lineRule="auto"/>
        <w:ind w:firstLine="422" w:firstLineChars="200"/>
        <w:rPr>
          <w:rFonts w:hint="eastAsia" w:ascii="宋体" w:hAnsi="宋体" w:eastAsia="宋体" w:cs="宋体"/>
          <w:b w:val="0"/>
          <w:color w:val="auto"/>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val="0"/>
          <w:color w:val="auto"/>
        </w:rPr>
        <w:t>采购清单</w:t>
      </w:r>
      <w:r>
        <w:rPr>
          <w:rFonts w:hint="eastAsia" w:ascii="宋体" w:hAnsi="宋体" w:eastAsia="宋体" w:cs="宋体"/>
          <w:b w:val="0"/>
          <w:color w:val="auto"/>
          <w:lang w:val="en-US" w:eastAsia="zh-CN"/>
        </w:rPr>
        <w:t>及技术参数</w:t>
      </w:r>
    </w:p>
    <w:tbl>
      <w:tblPr>
        <w:tblStyle w:val="3"/>
        <w:tblW w:w="9153" w:type="dxa"/>
        <w:tblInd w:w="0" w:type="dxa"/>
        <w:tblLayout w:type="fixed"/>
        <w:tblCellMar>
          <w:top w:w="0" w:type="dxa"/>
          <w:left w:w="0" w:type="dxa"/>
          <w:bottom w:w="0" w:type="dxa"/>
          <w:right w:w="0" w:type="dxa"/>
        </w:tblCellMar>
      </w:tblPr>
      <w:tblGrid>
        <w:gridCol w:w="640"/>
        <w:gridCol w:w="1133"/>
        <w:gridCol w:w="4607"/>
        <w:gridCol w:w="641"/>
        <w:gridCol w:w="759"/>
        <w:gridCol w:w="600"/>
        <w:gridCol w:w="773"/>
      </w:tblGrid>
      <w:tr>
        <w:tblPrEx>
          <w:tblCellMar>
            <w:top w:w="0" w:type="dxa"/>
            <w:left w:w="0" w:type="dxa"/>
            <w:bottom w:w="0" w:type="dxa"/>
            <w:right w:w="0"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8"/>
                <w:szCs w:val="18"/>
                <w:u w:val="none"/>
              </w:rPr>
            </w:pPr>
            <w:r>
              <w:rPr>
                <w:rFonts w:hint="eastAsia" w:ascii="宋体" w:hAnsi="宋体" w:eastAsia="宋体" w:cs="宋体"/>
                <w:b w:val="0"/>
                <w:bCs/>
                <w:i w:val="0"/>
                <w:color w:val="auto"/>
                <w:kern w:val="0"/>
                <w:sz w:val="18"/>
                <w:szCs w:val="18"/>
                <w:u w:val="none"/>
                <w:lang w:val="en-US" w:eastAsia="zh-CN" w:bidi="ar"/>
              </w:rPr>
              <w:t>序号</w:t>
            </w:r>
          </w:p>
        </w:tc>
        <w:tc>
          <w:tcPr>
            <w:tcW w:w="11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8"/>
                <w:szCs w:val="18"/>
                <w:u w:val="none"/>
              </w:rPr>
            </w:pPr>
            <w:r>
              <w:rPr>
                <w:rFonts w:hint="eastAsia" w:ascii="宋体" w:hAnsi="宋体" w:eastAsia="宋体" w:cs="宋体"/>
                <w:b w:val="0"/>
                <w:bCs/>
                <w:i w:val="0"/>
                <w:color w:val="auto"/>
                <w:kern w:val="0"/>
                <w:sz w:val="18"/>
                <w:szCs w:val="18"/>
                <w:u w:val="none"/>
                <w:lang w:val="en-US" w:eastAsia="zh-CN" w:bidi="ar"/>
              </w:rPr>
              <w:t>名称</w:t>
            </w:r>
          </w:p>
        </w:tc>
        <w:tc>
          <w:tcPr>
            <w:tcW w:w="4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8"/>
                <w:szCs w:val="18"/>
                <w:u w:val="none"/>
              </w:rPr>
            </w:pPr>
            <w:r>
              <w:rPr>
                <w:rFonts w:hint="eastAsia" w:ascii="宋体" w:hAnsi="宋体" w:eastAsia="宋体" w:cs="宋体"/>
                <w:b w:val="0"/>
                <w:bCs/>
                <w:i w:val="0"/>
                <w:color w:val="auto"/>
                <w:kern w:val="0"/>
                <w:sz w:val="18"/>
                <w:szCs w:val="18"/>
                <w:u w:val="none"/>
                <w:lang w:val="en-US" w:eastAsia="zh-CN" w:bidi="ar"/>
              </w:rPr>
              <w:t>规格/参数</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数量</w:t>
            </w:r>
          </w:p>
        </w:tc>
        <w:tc>
          <w:tcPr>
            <w:tcW w:w="7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（元）</w:t>
            </w:r>
          </w:p>
        </w:tc>
        <w:tc>
          <w:tcPr>
            <w:tcW w:w="7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总价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（元）</w:t>
            </w:r>
          </w:p>
        </w:tc>
      </w:tr>
      <w:tr>
        <w:tblPrEx>
          <w:tblCellMar>
            <w:top w:w="0" w:type="dxa"/>
            <w:left w:w="0" w:type="dxa"/>
            <w:bottom w:w="0" w:type="dxa"/>
            <w:right w:w="0"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窗帘布</w:t>
            </w:r>
          </w:p>
        </w:tc>
        <w:tc>
          <w:tcPr>
            <w:tcW w:w="4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面料材质：100%聚酯纤维；总光通量透射比（%）：7-9 ；克重：400g/m2±5%；幅宽：3600mm（±5%）；面料褶皱比例1:2；</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1.甲醛含量:未检出，检出限≤300mg/kg；</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2.可分解致癌芳香胺染料含量：未检出，检出限≤5mg/kg；</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3.致敏性染料：未检出，检出限≤5mg/kg；</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4.含氯苯酚(四氯苯酚、五氯苯酚)：未检出，检出限≤0.05mg/kg；</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5.断裂强力（N）：经向：≥2300；纬向：≥1400；</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6.胀破强力：≥980Kpa；</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7.阻燃性能：需符合《建筑材料及制品燃烧性能分级》GB/T 8624-2012 B1级检测合格；</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8.抗菌性能:（金黄色葡萄球菌/大肠杆菌/白色念珠菌/铜绿假单胞菌/肺炎克雷伯氏菌）抑菌率：≥95%。</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bCs w:val="0"/>
                <w:i w:val="0"/>
                <w:iCs w:val="0"/>
                <w:color w:val="auto"/>
                <w:kern w:val="0"/>
                <w:sz w:val="18"/>
                <w:szCs w:val="18"/>
                <w:u w:val="none"/>
                <w:lang w:val="en-US" w:eastAsia="zh-CN" w:bidi="ar"/>
              </w:rPr>
              <w:t>注：竞价人需须提供拟投入本项目使用产品的上述5至8项第三方检验（测）报告复印件或扫描件；报告需带有CMA标识和可查询的防伪二维码。采购人有权在成交后要求竞价人提供检测报告原件核查。</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1353</w:t>
            </w:r>
          </w:p>
        </w:tc>
        <w:tc>
          <w:tcPr>
            <w:tcW w:w="7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59</w:t>
            </w:r>
          </w:p>
        </w:tc>
        <w:tc>
          <w:tcPr>
            <w:tcW w:w="7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79827</w:t>
            </w:r>
          </w:p>
        </w:tc>
      </w:tr>
      <w:tr>
        <w:tblPrEx>
          <w:tblCellMar>
            <w:top w:w="0" w:type="dxa"/>
            <w:left w:w="0" w:type="dxa"/>
            <w:bottom w:w="0" w:type="dxa"/>
            <w:right w:w="0"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窗帘铝合金轨道</w:t>
            </w:r>
          </w:p>
        </w:tc>
        <w:tc>
          <w:tcPr>
            <w:tcW w:w="4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1.材质：一般工业用铝及铝合金挤压型材。</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2.肩宽：34mm±1mm；</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3.高：31mm±1mm；</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4.壁厚：2.7mm±0.1mm；</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5.走轮行程开口：10mm±1mm。</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bCs w:val="0"/>
                <w:i w:val="0"/>
                <w:iCs w:val="0"/>
                <w:color w:val="auto"/>
                <w:kern w:val="0"/>
                <w:sz w:val="18"/>
                <w:szCs w:val="18"/>
                <w:u w:val="none"/>
                <w:lang w:val="en-US" w:eastAsia="zh-CN" w:bidi="ar"/>
              </w:rPr>
              <w:t>注：竞价人需须提供拟投入本项目使用产品的上述2至5项第三方检验（测）报告复印件或扫描件；报告需带有CMA标识和可查询的防伪二维码。采购人有权在成交后要求竞价人提供检测报告原件核查。</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28</w:t>
            </w:r>
          </w:p>
        </w:tc>
        <w:tc>
          <w:tcPr>
            <w:tcW w:w="7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69</w:t>
            </w:r>
          </w:p>
        </w:tc>
        <w:tc>
          <w:tcPr>
            <w:tcW w:w="7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1932</w:t>
            </w:r>
          </w:p>
        </w:tc>
      </w:tr>
      <w:tr>
        <w:tblPrEx>
          <w:tblCellMar>
            <w:top w:w="0" w:type="dxa"/>
            <w:left w:w="0" w:type="dxa"/>
            <w:bottom w:w="0" w:type="dxa"/>
            <w:right w:w="0"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白布带（头）</w:t>
            </w:r>
          </w:p>
        </w:tc>
        <w:tc>
          <w:tcPr>
            <w:tcW w:w="4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 xml:space="preserve">成分：100%聚酯纤维；                </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1.PH值≤6.5；</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2.甲醛含量：未检出，检出限≤300mg/kg；</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3.致敏性染料:未检出，检出限≤5mg/kg；</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4.防紫外线性能：UPF≥50，T(UVA)≤3%，T(UVB);≤1%；</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5.水洗尺寸变化率（%）：经向：±1%，纬向：±1%；</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6.强力保持率：经向：≥80%，纬向：≥120%；</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 xml:space="preserve">7.阻燃性能：需符合《公共场所阻燃制品及组件燃烧性能要求和标识》GB20286-2006阻燃1级合格。 </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val="0"/>
                <w:bCs/>
                <w:i w:val="0"/>
                <w:iCs w:val="0"/>
                <w:color w:val="auto"/>
                <w:kern w:val="0"/>
                <w:sz w:val="18"/>
                <w:szCs w:val="18"/>
                <w:u w:val="none"/>
                <w:lang w:val="en-US" w:eastAsia="zh-CN" w:bidi="ar"/>
              </w:rPr>
              <w:t>8.抗菌性能：（金黄色葡萄球菌/大肠杆菌/白色念珠菌/铜绿假单胞菌/肺炎克雷伯氏菌）抑菌率：≥95%。</w:t>
            </w:r>
            <w:r>
              <w:rPr>
                <w:rFonts w:hint="eastAsia" w:ascii="宋体" w:hAnsi="宋体" w:eastAsia="宋体" w:cs="宋体"/>
                <w:b w:val="0"/>
                <w:bCs/>
                <w:i w:val="0"/>
                <w:iCs w:val="0"/>
                <w:color w:val="auto"/>
                <w:kern w:val="0"/>
                <w:sz w:val="18"/>
                <w:szCs w:val="18"/>
                <w:u w:val="none"/>
                <w:lang w:val="en-US" w:eastAsia="zh-CN" w:bidi="ar"/>
              </w:rPr>
              <w:br w:type="textWrapping"/>
            </w:r>
            <w:r>
              <w:rPr>
                <w:rFonts w:hint="eastAsia" w:ascii="宋体" w:hAnsi="宋体" w:eastAsia="宋体" w:cs="宋体"/>
                <w:b/>
                <w:bCs w:val="0"/>
                <w:i w:val="0"/>
                <w:iCs w:val="0"/>
                <w:color w:val="auto"/>
                <w:kern w:val="0"/>
                <w:sz w:val="18"/>
                <w:szCs w:val="18"/>
                <w:u w:val="none"/>
                <w:lang w:val="en-US" w:eastAsia="zh-CN" w:bidi="ar"/>
              </w:rPr>
              <w:t>注：竞价人需须提供拟投入本项目使用产品的上述6至8项第三方检验（测）报告复印件或扫描件；报告需带有CMA标识和可查询的防伪二维码。采购人有权在成交后要求竞价人提供检测报告原件核查。</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1353</w:t>
            </w:r>
          </w:p>
        </w:tc>
        <w:tc>
          <w:tcPr>
            <w:tcW w:w="7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10824</w:t>
            </w:r>
          </w:p>
        </w:tc>
      </w:tr>
      <w:tr>
        <w:tblPrEx>
          <w:tblCellMar>
            <w:top w:w="0" w:type="dxa"/>
            <w:left w:w="0" w:type="dxa"/>
            <w:bottom w:w="0" w:type="dxa"/>
            <w:right w:w="0"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特A级布叉</w:t>
            </w:r>
          </w:p>
        </w:tc>
        <w:tc>
          <w:tcPr>
            <w:tcW w:w="4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特A四叉钩；表面烤漆。</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3746</w:t>
            </w:r>
          </w:p>
        </w:tc>
        <w:tc>
          <w:tcPr>
            <w:tcW w:w="7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i w:val="0"/>
                <w:iCs w:val="0"/>
                <w:color w:val="auto"/>
                <w:kern w:val="0"/>
                <w:sz w:val="18"/>
                <w:szCs w:val="18"/>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i w:val="0"/>
                <w:iCs w:val="0"/>
                <w:color w:val="auto"/>
                <w:kern w:val="0"/>
                <w:sz w:val="18"/>
                <w:szCs w:val="18"/>
                <w:u w:val="none"/>
                <w:lang w:val="en-US" w:eastAsia="zh-CN" w:bidi="ar"/>
              </w:rPr>
            </w:pPr>
            <w:r>
              <w:rPr>
                <w:rFonts w:hint="eastAsia" w:ascii="宋体" w:hAnsi="宋体" w:eastAsia="宋体" w:cs="宋体"/>
                <w:b w:val="0"/>
                <w:bCs/>
                <w:i w:val="0"/>
                <w:iCs w:val="0"/>
                <w:color w:val="auto"/>
                <w:kern w:val="0"/>
                <w:sz w:val="18"/>
                <w:szCs w:val="18"/>
                <w:u w:val="none"/>
                <w:lang w:val="en-US" w:eastAsia="zh-CN" w:bidi="ar"/>
              </w:rPr>
              <w:t>3746</w:t>
            </w:r>
          </w:p>
        </w:tc>
      </w:tr>
      <w:tr>
        <w:tblPrEx>
          <w:tblCellMar>
            <w:top w:w="0" w:type="dxa"/>
            <w:left w:w="0" w:type="dxa"/>
            <w:bottom w:w="0" w:type="dxa"/>
            <w:right w:w="0" w:type="dxa"/>
          </w:tblCellMar>
        </w:tblPrEx>
        <w:trPr>
          <w:trHeight w:val="480" w:hRule="atLeast"/>
        </w:trPr>
        <w:tc>
          <w:tcPr>
            <w:tcW w:w="638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合计（总价）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p>
        </w:tc>
        <w:tc>
          <w:tcPr>
            <w:tcW w:w="7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96329</w:t>
            </w:r>
          </w:p>
        </w:tc>
      </w:tr>
    </w:tbl>
    <w:p>
      <w:pPr>
        <w:pStyle w:val="6"/>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福州职业技术学院内指定地点（明德楼86面窗帘，厚实楼4面窗帘，致善楼37面窗帘，爱心楼1面窗帘，共计窗帘128面）。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2.交付时间：在成交通知书发出后7日内完成供货及安装。</w:t>
      </w:r>
    </w:p>
    <w:p>
      <w:pPr>
        <w:pStyle w:val="7"/>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6"/>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3.1全部货物交货经安装调试，并经验收合格后，15个工作日内学校凭收讫货物的验收凭证和货物验收合格文件等材料以转账方式向成交人一次性支付 100% 的货物价款。</w:t>
      </w:r>
    </w:p>
    <w:p>
      <w:pPr>
        <w:pStyle w:val="6"/>
        <w:spacing w:line="24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.2付款条件：</w:t>
      </w:r>
      <w:r>
        <w:rPr>
          <w:rFonts w:hint="eastAsia" w:ascii="宋体" w:hAnsi="宋体" w:eastAsia="宋体" w:cs="宋体"/>
          <w:color w:val="auto"/>
          <w:sz w:val="21"/>
          <w:szCs w:val="21"/>
          <w:highlight w:val="none"/>
        </w:rPr>
        <w:t>金额为有关合同货物价格100%的正式发票。</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4.包装和运输：</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4.1包装必须与运输方式相适应，包装方式的确定及包装费用均由成交人负责；由于不适当的包装而造成货物在运输过程中有任何损坏、丢失由成交人负责。</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4.2货物、生产、包装、仓储、运输、装卸、保险以及成交人进行安装、调试、验收、保障服务等全部费用及税费均包含在本合同价款中。</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5.质保期：免费保修期为1年（从验收合格之日起算）。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6.售后服务：在免费保修期内货物如有质量问题时，成交人接到货物通知后4小时内响应，并在5天内免费负责修理或更换有缺陷的货物。</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3" w:firstLineChars="196"/>
        <w:textAlignment w:val="auto"/>
        <w:rPr>
          <w:rFonts w:ascii="黑体" w:hAnsi="黑体" w:eastAsia="黑体" w:cs="黑体"/>
          <w:b/>
          <w:color w:val="auto"/>
          <w:sz w:val="21"/>
          <w:szCs w:val="21"/>
        </w:rPr>
      </w:pPr>
      <w:r>
        <w:rPr>
          <w:rFonts w:hint="eastAsia" w:ascii="黑体" w:hAnsi="黑体" w:eastAsia="黑体" w:cs="黑体"/>
          <w:b/>
          <w:color w:val="auto"/>
          <w:sz w:val="21"/>
          <w:szCs w:val="21"/>
          <w:lang w:eastAsia="zh-CN"/>
        </w:rPr>
        <w:t>7</w:t>
      </w:r>
      <w:r>
        <w:rPr>
          <w:rFonts w:hint="eastAsia" w:ascii="黑体" w:hAnsi="黑体" w:eastAsia="黑体" w:cs="黑体"/>
          <w:b/>
          <w:color w:val="auto"/>
          <w:sz w:val="21"/>
          <w:szCs w:val="21"/>
          <w:lang w:val="en-US" w:eastAsia="zh-CN"/>
        </w:rPr>
        <w:t>.</w:t>
      </w:r>
      <w:r>
        <w:rPr>
          <w:rFonts w:hint="eastAsia" w:ascii="黑体" w:hAnsi="黑体" w:eastAsia="黑体" w:cs="黑体"/>
          <w:b/>
          <w:color w:val="auto"/>
          <w:sz w:val="21"/>
          <w:szCs w:val="21"/>
        </w:rPr>
        <w:t>验收要求：</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到货验收：货物送至采购人安装现场后，</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和采购人一同拆箱，对其全部货物型号、规格、数量、外型、外观、包装进行到货验收。验收过程中，若发现货物数量、质量有问题或货物不符合政府采购合同规定的，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应无条件于</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天内免费更换，如采购人因为基建施工等原因影响</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进场安装，采购人应及时通知</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，完工期可适当顺延。</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最终验收：货物全部安装到位后进行最终验收。采购人在收到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的验收申请后15个工作日内，采购人和</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共同进行验收。采购人将按照采购合同规定的技术、服务、安全标准组织对</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履约情况进行验收，并出具验收书。验收书应当包括每一项技术、服务、安全标准的履约情况。验收过程中，若发现货物质量有问题成交人应无条件于</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天内免费更换，</w:t>
      </w:r>
      <w:r>
        <w:rPr>
          <w:rFonts w:hint="eastAsia" w:ascii="宋体" w:hAnsi="宋体" w:eastAsia="宋体" w:cs="宋体"/>
          <w:color w:val="auto"/>
          <w:sz w:val="21"/>
          <w:szCs w:val="21"/>
          <w:lang w:val="en-US" w:eastAsia="zh-CN"/>
        </w:rPr>
        <w:t>安装、</w:t>
      </w:r>
      <w:r>
        <w:rPr>
          <w:rFonts w:hint="eastAsia" w:ascii="宋体" w:hAnsi="宋体" w:eastAsia="宋体" w:cs="宋体"/>
          <w:color w:val="auto"/>
          <w:sz w:val="21"/>
          <w:szCs w:val="21"/>
        </w:rPr>
        <w:t>调试后重新提交验收申请。在此期间，</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在采购人现场进行安装、调试直至验收所发生的一切费用由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承担且已含在投标总价中。</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检验与测试：</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所提供的货物必须是厂商原装、全新的正品，符合国家的有关标准。标准：本合同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本合同价为固定价，不受时间、物价升降等因素的影响，</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需按所报清单上所列品种送货，不</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以其它同类型代替。</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应在供货同时向采购人提供所有有关本合同执行的技术文件。如果项目必需但合同又未作规定且需</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才能提供的技术文件，</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也应及时向采购人提供。技术文件可以是手册、说明、其他形式的文件资料。</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上述技术文件应包含保证采购人能够正确进行使用、检查、</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、验收的需要的所有内容。</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8.5</w:t>
      </w:r>
      <w:r>
        <w:rPr>
          <w:rFonts w:hint="eastAsia" w:ascii="宋体" w:hAnsi="宋体" w:eastAsia="宋体" w:cs="宋体"/>
          <w:color w:val="auto"/>
          <w:sz w:val="21"/>
          <w:szCs w:val="21"/>
        </w:rPr>
        <w:t>所有</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提供的技术文件的全部费用已包含在合同总价中。</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所有未列明交付时间的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应提供的技术文件，必须单独包装伴随货物按货物交付时间交付给采购人。技术文件未提供给采购人的，视为</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未完全履行交付义务。</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w:t>
      </w:r>
      <w:r>
        <w:rPr>
          <w:rFonts w:hint="eastAsia" w:ascii="宋体" w:hAnsi="宋体" w:eastAsia="宋体" w:cs="宋体"/>
          <w:color w:val="auto"/>
          <w:sz w:val="21"/>
          <w:szCs w:val="21"/>
        </w:rPr>
        <w:t>到货后采购人如发现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未提供有关文件，可以推迟付款，直至</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补齐有关文件。</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9</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知识产权：</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1</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产权与风险转移：</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1成交人交由承运人运输的在途货物，毁损、灭失的风险由成交人承担。</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2货物的产权以及损坏、灭失的风险在货物通过验收并交付使用前归属于成交人，在货物通过验收并交付使用时起由成交人转移至采购人。</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10.3</w:t>
      </w:r>
      <w:r>
        <w:rPr>
          <w:rFonts w:hint="eastAsia" w:ascii="宋体" w:hAnsi="宋体" w:eastAsia="宋体" w:cs="宋体"/>
          <w:color w:val="auto"/>
          <w:sz w:val="21"/>
          <w:szCs w:val="21"/>
        </w:rPr>
        <w:t>产权和风险的转移，不影响因成交人履行义务不符合约定，采购人要求其承担违约责任的权利。</w:t>
      </w:r>
    </w:p>
    <w:p>
      <w:pPr>
        <w:keepNext w:val="0"/>
        <w:keepLines w:val="0"/>
        <w:pageBreakBefore w:val="0"/>
        <w:widowControl w:val="0"/>
        <w:tabs>
          <w:tab w:val="left" w:pos="824"/>
        </w:tabs>
        <w:kinsoku/>
        <w:wordWrap/>
        <w:overflowPunct/>
        <w:topLinePunct w:val="0"/>
        <w:autoSpaceDE/>
        <w:autoSpaceDN/>
        <w:bidi w:val="0"/>
        <w:snapToGrid/>
        <w:spacing w:line="240" w:lineRule="auto"/>
        <w:ind w:left="105" w:leftChars="50" w:firstLine="316" w:firstLineChars="15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1</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、保密：</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1未经采购人事先书面同意，成交人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2上款所列举的任何物件均是采购人的财产。如果采购人有要求，成交人在收到采购人的要求后10日内应将这些物件及全部复制件还给采购人，不得留存任何备份。</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3成交人违反本保密条款的，应支付合同总金额1% 的违约金，并赔偿由此给采购人造成的任何损失。本条款在本项目履行期间至履行结束后均有效。</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3" w:firstLineChars="196"/>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1</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违约责任：</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1交货不符合约定或存在缺陷的</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交人对所供货物与合同要求不符负有责任，如经检验证实不符或缺陷存在的，包括潜在的缺陷或使用不合适的原料等，采购人可根据网上竞价文件有关质量保证或检验、验收的规定，选择下述一种或多种结合的方法解决索赔事宜：</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1.1采购人要求退货并解除合同的，成交人应承担因退货而发生的一切损失和费用，包括利息、银行手续费、运费、保险费、检验费、仓储费、装卸费以及为保管、维护和退回被拒收货物所发生的其它必要费用，且还应向采购人支付合同金额</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%的违约金。</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1.2成交人收到采购人书面索赔通知后5天内，未给采购人答复的，视为索赔已被成交人接受。成交人未能在收到索赔通知后5天内，或征得采购人同意的延长期限内，按照采购人从上列方法中选择的方案解决索赔事宜的，采购人将有权从未付货款中扣回索赔金额，同时保留进一步要求索赔的权利。成交人还应向采购人支付本合同金额</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%的违约金。</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12.1.3</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提供的货物或服务不符合合同标准或被采购人使用部门投诉的，每发现一次应向采购人支付违约金500元。再次发生相同违约情况或因相同问题被投诉的，采购人将向</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人发出整改通知书，同时</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应向采购人支付违约金1000元。发生相同违约情况或相同问题投诉累积三次的，采购人有权扣除全部履约保证金并解除合同。若因此给采购人造成损失的，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还应赔偿采购人所受的损失。</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2.逾期交货的赔偿</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2.1除不可抗力因素外，如果</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不能按照合同规定的时间交付和提供服务，应及时以书面形式将逾期的事实、可能逾期的时间和原因通知采购人。采购人收到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通知后，将尽快作出评价，决定是否同意延长交货期及收取逾期赔偿费，逾期赔偿费的金额为采购人所遭受的所有损失。采购人在不影响合同项下的其它补救措施情况下，可从合同未付款中扣除逾期违约金，违约金按1000元/天计算，逾期期限一旦达到7天，采购人有权解除合同，且</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仍应按合同约定支付违约金。违约金的支付不影响采购人向</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要求损害赔偿。</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如果成交人未能按照合同约定的时间提供售后服务的，每逾期1天，成交人应向采购人支付合同总额0.5％的违约金，若因此给采购人造成损失的，成交人还应赔偿采购人所受的损失。</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保修期内，成交人未尽保修义务的，采购人可自行寻求解决，成交人应承担自采购人提出故障申告至采购人自行解决相应故障期间内的违约金并赔偿采购人损失，采购人由此产生的费用，由成交人承担。</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rPr>
        <w:t>因</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管理不当，致使货物的生产、包装、仓储、运输、装卸、安装、调试及验收过程中导致第三方权益受损的（如安全事故），</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除应赔偿第三方相应的损失外，还应向采购人支付本合同总额</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的违约金。</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13.不可抗力</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采购人、成交人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14.合同终止</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14.1.合同自然终止</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14.1.1甲乙双方各自完成合同规定的责任和义务，合同自然终止。</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14.1.2产品发生重大质量事故。</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14.1.3产品批准文号被吊销。</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14.1.4财政部门款项不到位。</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14.1.5国家政策发生改变。</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因上述14.1.2、14.1.3款致使合同终止的，成交人应承担相应责任。因上述14.1.4、14.1.5款致使合同终止的，双方均不负任何责任。</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14.2违约违规终止合同</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若成交人存在下列违约情形，在采购人对成交人违约而采取的任何补救措施不受影响的情况下，采购人还可向成交人发出书面的违约通知书，单方终止部分或全部合同：</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14.2.1如果成交人未能在合同规定的期限内提供货物（参见第十一条相关规定）；</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14.2.2如果成交人未能履行合同规定的其它任何义务，经一次书面催告后5天内还是未能履行的；</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14.2.3因产品质量原因导致合同无法继续履行（参见第十一条相关规定）。</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14.3如果成交人在本合同的投标竞争和实施过程中有违反有关政府采购的法律、法规，用不正当手段影响采购人采购过程，包括谎报或隐瞒事实、损害采购人利益、干扰采购人、评委、</w:t>
      </w:r>
      <w:r>
        <w:rPr>
          <w:rFonts w:hint="eastAsia" w:ascii="宋体" w:hAnsi="宋体" w:eastAsia="宋体" w:cs="宋体"/>
          <w:color w:val="auto"/>
          <w:sz w:val="21"/>
          <w:szCs w:val="21"/>
          <w:highlight w:val="none"/>
          <w:lang w:val="en-US" w:eastAsia="zh-CN"/>
        </w:rPr>
        <w:t xml:space="preserve">招标人的招标、评标等行为的，本合同无效，给采购人造成损失的，应承担损害赔偿责任。  </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14.4因成交人破产导致终止合同</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如果成交人破产或无清偿能力，采购人可在任何时候以书面形式通知成交人，提出终止合同而不给成交人补偿。该合同的终止将不损害或影响采购人已经采取或将要采取的任何行动或补救措施的权力。</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15.解决争议的方法</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15.1采购人、成交人双方协商解决。</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15.2若协商解决不成，则通过下列途径解决：</w:t>
      </w:r>
    </w:p>
    <w:p>
      <w:pPr>
        <w:keepNext w:val="0"/>
        <w:keepLines w:val="0"/>
        <w:pageBreakBefore w:val="0"/>
        <w:widowControl w:val="0"/>
        <w:tabs>
          <w:tab w:val="left" w:pos="900"/>
          <w:tab w:val="left" w:pos="1100"/>
        </w:tabs>
        <w:kinsoku/>
        <w:wordWrap/>
        <w:overflowPunct/>
        <w:topLinePunct w:val="0"/>
        <w:autoSpaceDE/>
        <w:autoSpaceDN/>
        <w:bidi w:val="0"/>
        <w:snapToGrid/>
        <w:spacing w:line="240" w:lineRule="auto"/>
        <w:ind w:firstLine="411" w:firstLineChars="196"/>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lang w:eastAsia="zh-CN"/>
        </w:rPr>
      </w:pPr>
    </w:p>
    <w:p>
      <w:pPr>
        <w:keepNext w:val="0"/>
        <w:keepLines w:val="0"/>
        <w:pageBreakBefore w:val="0"/>
        <w:widowControl/>
        <w:kinsoku/>
        <w:overflowPunct/>
        <w:topLinePunct w:val="0"/>
        <w:autoSpaceDE/>
        <w:autoSpaceDN/>
        <w:bidi w:val="0"/>
        <w:adjustRightInd/>
        <w:spacing w:line="240" w:lineRule="auto"/>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240" w:lineRule="auto"/>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11</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20</w:t>
      </w:r>
      <w:r>
        <w:rPr>
          <w:rFonts w:hint="eastAsia" w:ascii="宋体" w:hAnsi="宋体" w:eastAsia="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B43D3"/>
    <w:multiLevelType w:val="singleLevel"/>
    <w:tmpl w:val="CEEB43D3"/>
    <w:lvl w:ilvl="0" w:tentative="0">
      <w:start w:val="1"/>
      <w:numFmt w:val="decimal"/>
      <w:suff w:val="nothing"/>
      <w:lvlText w:val="%1、"/>
      <w:lvlJc w:val="left"/>
    </w:lvl>
  </w:abstractNum>
  <w:abstractNum w:abstractNumId="1">
    <w:nsid w:val="578DECE1"/>
    <w:multiLevelType w:val="singleLevel"/>
    <w:tmpl w:val="578DECE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D748C"/>
    <w:rsid w:val="2FE65E4C"/>
    <w:rsid w:val="4FBD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NormalCharacter"/>
    <w:qFormat/>
    <w:uiPriority w:val="0"/>
    <w:rPr>
      <w:rFonts w:ascii="Calibri" w:hAnsi="Calibri" w:cs="宋体"/>
      <w:kern w:val="2"/>
      <w:sz w:val="21"/>
      <w:szCs w:val="24"/>
      <w:lang w:val="en-US" w:eastAsia="zh-CN" w:bidi="ar-SA"/>
    </w:rPr>
  </w:style>
  <w:style w:type="paragraph" w:customStyle="1" w:styleId="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2024-11-20T02:38:00Z</dcterms:created>
  <dc:creator>Lenovo</dc:creator>
  <cp:lastModifiedBy>XH.H</cp:lastModifiedBy>
  <dcterms:modified xsi:type="dcterms:W3CDTF">2024-11-20T07:42:08Z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2AF24D4E7A214FDAA1EFDBAB65EC9B8F</vt:lpwstr>
  </property>
</Properties>
</file>