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92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color w:val="383940"/>
          <w:sz w:val="28"/>
          <w:szCs w:val="28"/>
        </w:rPr>
      </w:pPr>
      <w:r>
        <w:rPr>
          <w:rFonts w:hint="eastAsia" w:ascii="宋体" w:hAnsi="宋体" w:eastAsia="宋体" w:cs="宋体"/>
          <w:b/>
          <w:bCs/>
          <w:i w:val="0"/>
          <w:iCs w:val="0"/>
          <w:caps w:val="0"/>
          <w:color w:val="383940"/>
          <w:spacing w:val="0"/>
          <w:sz w:val="28"/>
          <w:szCs w:val="28"/>
          <w:bdr w:val="none" w:color="auto" w:sz="0" w:space="0"/>
          <w:shd w:val="clear" w:fill="FFFFFF"/>
          <w:vertAlign w:val="baseline"/>
        </w:rPr>
        <w:t>福州职业技术学院机电工程学院《PLC应用技术（西门子）》、《组态控制技术》、《工业机器人技术》、《机械制造基础》4门校级在线精品课程资源建设项目采购（二次）公开招标公告</w:t>
      </w:r>
    </w:p>
    <w:p w14:paraId="7DF2B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14:paraId="35FB31DF">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shd w:val="clear" w:fill="FFFFFF"/>
          <w:vertAlign w:val="baseline"/>
          <w:lang w:val="en-US" w:eastAsia="zh-CN" w:bidi="ar"/>
        </w:rPr>
        <w:t>机电工程学院《PLC应用技术（西门子）》、《组态控制技术》、《工业机器人技术》、《机械制造基础》4门校级在线精品课程资源建设项目采购（二次） 招标项目的潜在投标人应在福建省福州市晋安区王庄街道福新中路75号永同昌大厦11层05、06室获取招标文件，并于2024年11月08日 09点00分（北京时间）前递交投标文件。</w:t>
      </w:r>
    </w:p>
    <w:p w14:paraId="4416D9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一、项目基本情况</w:t>
      </w:r>
    </w:p>
    <w:p w14:paraId="5F855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项目编号：FJHSXM-GK-2024015-1</w:t>
      </w:r>
    </w:p>
    <w:p w14:paraId="53DBD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项目名称：机电工程学院《PLC应用技术（西门子）》、《组态控制技术》、《工业机器人技术》、《机械制造基础》4门校级在线精品课程资源建设项目采购（二次）</w:t>
      </w:r>
    </w:p>
    <w:p w14:paraId="609A9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预算金额：30.800000 万元（人民币）</w:t>
      </w:r>
    </w:p>
    <w:p w14:paraId="4F31E3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最高限价（如有）：30.800000 万元（人民币）</w:t>
      </w:r>
    </w:p>
    <w:p w14:paraId="54241E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采购需求：</w:t>
      </w:r>
    </w:p>
    <w:p w14:paraId="65AE2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14:paraId="5CC1B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采购标的一览表</w:t>
      </w:r>
    </w:p>
    <w:p w14:paraId="32733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金额单位：人民币元</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09"/>
        <w:gridCol w:w="564"/>
        <w:gridCol w:w="1417"/>
        <w:gridCol w:w="2772"/>
        <w:gridCol w:w="380"/>
        <w:gridCol w:w="934"/>
        <w:gridCol w:w="989"/>
        <w:gridCol w:w="769"/>
        <w:gridCol w:w="1417"/>
      </w:tblGrid>
      <w:tr w14:paraId="6D09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05" w:hRule="atLeast"/>
        </w:trPr>
        <w:tc>
          <w:tcPr>
            <w:tcW w:w="0" w:type="auto"/>
            <w:shd w:val="clear"/>
            <w:tcMar>
              <w:top w:w="0" w:type="dxa"/>
              <w:left w:w="0" w:type="dxa"/>
              <w:bottom w:w="0" w:type="dxa"/>
              <w:right w:w="0" w:type="dxa"/>
            </w:tcMar>
            <w:vAlign w:val="center"/>
          </w:tcPr>
          <w:p w14:paraId="62C89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合同包</w:t>
            </w:r>
          </w:p>
        </w:tc>
        <w:tc>
          <w:tcPr>
            <w:tcW w:w="0" w:type="auto"/>
            <w:shd w:val="clear"/>
            <w:tcMar>
              <w:top w:w="0" w:type="dxa"/>
              <w:left w:w="0" w:type="dxa"/>
              <w:bottom w:w="0" w:type="dxa"/>
              <w:right w:w="0" w:type="dxa"/>
            </w:tcMar>
            <w:vAlign w:val="center"/>
          </w:tcPr>
          <w:p w14:paraId="5D41C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品目号</w:t>
            </w:r>
          </w:p>
        </w:tc>
        <w:tc>
          <w:tcPr>
            <w:tcW w:w="0" w:type="auto"/>
            <w:shd w:val="clear"/>
            <w:tcMar>
              <w:top w:w="0" w:type="dxa"/>
              <w:left w:w="0" w:type="dxa"/>
              <w:bottom w:w="0" w:type="dxa"/>
              <w:right w:w="0" w:type="dxa"/>
            </w:tcMar>
            <w:vAlign w:val="center"/>
          </w:tcPr>
          <w:p w14:paraId="016242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品目名称</w:t>
            </w:r>
          </w:p>
        </w:tc>
        <w:tc>
          <w:tcPr>
            <w:tcW w:w="0" w:type="auto"/>
            <w:shd w:val="clear"/>
            <w:tcMar>
              <w:top w:w="0" w:type="dxa"/>
              <w:left w:w="0" w:type="dxa"/>
              <w:bottom w:w="0" w:type="dxa"/>
              <w:right w:w="0" w:type="dxa"/>
            </w:tcMar>
            <w:vAlign w:val="center"/>
          </w:tcPr>
          <w:p w14:paraId="4195D7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采购标的</w:t>
            </w:r>
          </w:p>
        </w:tc>
        <w:tc>
          <w:tcPr>
            <w:tcW w:w="0" w:type="auto"/>
            <w:shd w:val="clear"/>
            <w:tcMar>
              <w:top w:w="0" w:type="dxa"/>
              <w:left w:w="0" w:type="dxa"/>
              <w:bottom w:w="0" w:type="dxa"/>
              <w:right w:w="0" w:type="dxa"/>
            </w:tcMar>
            <w:vAlign w:val="center"/>
          </w:tcPr>
          <w:p w14:paraId="5500D7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数量</w:t>
            </w:r>
          </w:p>
        </w:tc>
        <w:tc>
          <w:tcPr>
            <w:tcW w:w="0" w:type="auto"/>
            <w:shd w:val="clear"/>
            <w:tcMar>
              <w:top w:w="0" w:type="dxa"/>
              <w:left w:w="0" w:type="dxa"/>
              <w:bottom w:w="0" w:type="dxa"/>
              <w:right w:w="0" w:type="dxa"/>
            </w:tcMar>
            <w:vAlign w:val="center"/>
          </w:tcPr>
          <w:p w14:paraId="58B23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品目号预算</w:t>
            </w:r>
          </w:p>
        </w:tc>
        <w:tc>
          <w:tcPr>
            <w:tcW w:w="0" w:type="auto"/>
            <w:shd w:val="clear"/>
            <w:tcMar>
              <w:top w:w="0" w:type="dxa"/>
              <w:left w:w="0" w:type="dxa"/>
              <w:bottom w:w="0" w:type="dxa"/>
              <w:right w:w="0" w:type="dxa"/>
            </w:tcMar>
            <w:vAlign w:val="center"/>
          </w:tcPr>
          <w:p w14:paraId="237051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合同包预算</w:t>
            </w:r>
          </w:p>
        </w:tc>
        <w:tc>
          <w:tcPr>
            <w:tcW w:w="0" w:type="auto"/>
            <w:shd w:val="clear"/>
            <w:tcMar>
              <w:top w:w="0" w:type="dxa"/>
              <w:left w:w="0" w:type="dxa"/>
              <w:bottom w:w="0" w:type="dxa"/>
              <w:right w:w="0" w:type="dxa"/>
            </w:tcMar>
            <w:vAlign w:val="center"/>
          </w:tcPr>
          <w:p w14:paraId="2B6DA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投标保证金</w:t>
            </w:r>
          </w:p>
        </w:tc>
        <w:tc>
          <w:tcPr>
            <w:tcW w:w="0" w:type="auto"/>
            <w:shd w:val="clear"/>
            <w:tcMar>
              <w:top w:w="0" w:type="dxa"/>
              <w:left w:w="0" w:type="dxa"/>
              <w:bottom w:w="0" w:type="dxa"/>
              <w:right w:w="0" w:type="dxa"/>
            </w:tcMar>
            <w:vAlign w:val="center"/>
          </w:tcPr>
          <w:p w14:paraId="25D2FF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所属行业</w:t>
            </w:r>
          </w:p>
        </w:tc>
      </w:tr>
      <w:tr w14:paraId="222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0" w:type="auto"/>
            <w:vMerge w:val="restart"/>
            <w:shd w:val="clear"/>
            <w:tcMar>
              <w:top w:w="0" w:type="dxa"/>
              <w:left w:w="0" w:type="dxa"/>
              <w:bottom w:w="0" w:type="dxa"/>
              <w:right w:w="0" w:type="dxa"/>
            </w:tcMar>
            <w:vAlign w:val="center"/>
          </w:tcPr>
          <w:p w14:paraId="027C5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w:t>
            </w:r>
          </w:p>
        </w:tc>
        <w:tc>
          <w:tcPr>
            <w:tcW w:w="0" w:type="auto"/>
            <w:shd w:val="clear"/>
            <w:tcMar>
              <w:top w:w="0" w:type="dxa"/>
              <w:left w:w="0" w:type="dxa"/>
              <w:bottom w:w="0" w:type="dxa"/>
              <w:right w:w="0" w:type="dxa"/>
            </w:tcMar>
            <w:vAlign w:val="center"/>
          </w:tcPr>
          <w:p w14:paraId="6F117F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1-1</w:t>
            </w:r>
          </w:p>
        </w:tc>
        <w:tc>
          <w:tcPr>
            <w:tcW w:w="0" w:type="auto"/>
            <w:shd w:val="clear"/>
            <w:tcMar>
              <w:top w:w="0" w:type="dxa"/>
              <w:left w:w="0" w:type="dxa"/>
              <w:bottom w:w="0" w:type="dxa"/>
              <w:right w:w="0" w:type="dxa"/>
            </w:tcMar>
            <w:vAlign w:val="center"/>
          </w:tcPr>
          <w:p w14:paraId="2D52B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数字内容加工处理服务</w:t>
            </w:r>
          </w:p>
        </w:tc>
        <w:tc>
          <w:tcPr>
            <w:tcW w:w="0" w:type="auto"/>
            <w:shd w:val="clear"/>
            <w:tcMar>
              <w:top w:w="0" w:type="dxa"/>
              <w:left w:w="0" w:type="dxa"/>
              <w:bottom w:w="0" w:type="dxa"/>
              <w:right w:w="0" w:type="dxa"/>
            </w:tcMar>
            <w:vAlign w:val="center"/>
          </w:tcPr>
          <w:p w14:paraId="6A117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《PLC应用技术（西门子）》在线课程资源</w:t>
            </w:r>
          </w:p>
        </w:tc>
        <w:tc>
          <w:tcPr>
            <w:tcW w:w="0" w:type="auto"/>
            <w:shd w:val="clear"/>
            <w:tcMar>
              <w:top w:w="0" w:type="dxa"/>
              <w:left w:w="0" w:type="dxa"/>
              <w:bottom w:w="0" w:type="dxa"/>
              <w:right w:w="0" w:type="dxa"/>
            </w:tcMar>
            <w:vAlign w:val="center"/>
          </w:tcPr>
          <w:p w14:paraId="47D86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1批</w:t>
            </w:r>
          </w:p>
        </w:tc>
        <w:tc>
          <w:tcPr>
            <w:tcW w:w="0" w:type="auto"/>
            <w:shd w:val="clear"/>
            <w:tcMar>
              <w:top w:w="0" w:type="dxa"/>
              <w:left w:w="0" w:type="dxa"/>
              <w:bottom w:w="0" w:type="dxa"/>
              <w:right w:w="0" w:type="dxa"/>
            </w:tcMar>
            <w:vAlign w:val="center"/>
          </w:tcPr>
          <w:p w14:paraId="04D58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78000</w:t>
            </w:r>
          </w:p>
        </w:tc>
        <w:tc>
          <w:tcPr>
            <w:tcW w:w="0" w:type="auto"/>
            <w:vMerge w:val="restart"/>
            <w:shd w:val="clear"/>
            <w:tcMar>
              <w:top w:w="0" w:type="dxa"/>
              <w:left w:w="0" w:type="dxa"/>
              <w:bottom w:w="0" w:type="dxa"/>
              <w:right w:w="0" w:type="dxa"/>
            </w:tcMar>
            <w:vAlign w:val="center"/>
          </w:tcPr>
          <w:p w14:paraId="78340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308000</w:t>
            </w:r>
          </w:p>
        </w:tc>
        <w:tc>
          <w:tcPr>
            <w:tcW w:w="0" w:type="auto"/>
            <w:vMerge w:val="restart"/>
            <w:shd w:val="clear"/>
            <w:tcMar>
              <w:top w:w="0" w:type="dxa"/>
              <w:left w:w="0" w:type="dxa"/>
              <w:bottom w:w="0" w:type="dxa"/>
              <w:right w:w="0" w:type="dxa"/>
            </w:tcMar>
            <w:vAlign w:val="center"/>
          </w:tcPr>
          <w:p w14:paraId="5E65C7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0</w:t>
            </w:r>
          </w:p>
        </w:tc>
        <w:tc>
          <w:tcPr>
            <w:tcW w:w="0" w:type="auto"/>
            <w:vMerge w:val="restart"/>
            <w:shd w:val="clear"/>
            <w:tcMar>
              <w:top w:w="0" w:type="dxa"/>
              <w:left w:w="0" w:type="dxa"/>
              <w:bottom w:w="0" w:type="dxa"/>
              <w:right w:w="0" w:type="dxa"/>
            </w:tcMar>
            <w:vAlign w:val="center"/>
          </w:tcPr>
          <w:p w14:paraId="68C76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软件和信息技术服务业</w:t>
            </w:r>
          </w:p>
        </w:tc>
      </w:tr>
      <w:tr w14:paraId="4EFD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0" w:type="auto"/>
            <w:vMerge w:val="continue"/>
            <w:shd w:val="clear"/>
            <w:tcMar>
              <w:top w:w="0" w:type="dxa"/>
              <w:left w:w="0" w:type="dxa"/>
              <w:bottom w:w="0" w:type="dxa"/>
              <w:right w:w="0" w:type="dxa"/>
            </w:tcMar>
            <w:vAlign w:val="center"/>
          </w:tcPr>
          <w:p w14:paraId="6A0BF943">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shd w:val="clear"/>
            <w:tcMar>
              <w:top w:w="0" w:type="dxa"/>
              <w:left w:w="0" w:type="dxa"/>
              <w:bottom w:w="0" w:type="dxa"/>
              <w:right w:w="0" w:type="dxa"/>
            </w:tcMar>
            <w:vAlign w:val="center"/>
          </w:tcPr>
          <w:p w14:paraId="781D67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1-2</w:t>
            </w:r>
          </w:p>
        </w:tc>
        <w:tc>
          <w:tcPr>
            <w:tcW w:w="0" w:type="auto"/>
            <w:shd w:val="clear"/>
            <w:tcMar>
              <w:top w:w="0" w:type="dxa"/>
              <w:left w:w="0" w:type="dxa"/>
              <w:bottom w:w="0" w:type="dxa"/>
              <w:right w:w="0" w:type="dxa"/>
            </w:tcMar>
            <w:vAlign w:val="center"/>
          </w:tcPr>
          <w:p w14:paraId="708380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数字内容加工处理服务</w:t>
            </w:r>
          </w:p>
        </w:tc>
        <w:tc>
          <w:tcPr>
            <w:tcW w:w="0" w:type="auto"/>
            <w:shd w:val="clear"/>
            <w:tcMar>
              <w:top w:w="0" w:type="dxa"/>
              <w:left w:w="0" w:type="dxa"/>
              <w:bottom w:w="0" w:type="dxa"/>
              <w:right w:w="0" w:type="dxa"/>
            </w:tcMar>
            <w:vAlign w:val="center"/>
          </w:tcPr>
          <w:p w14:paraId="63421E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《工业机器人技术》在线课程资源</w:t>
            </w:r>
          </w:p>
        </w:tc>
        <w:tc>
          <w:tcPr>
            <w:tcW w:w="0" w:type="auto"/>
            <w:shd w:val="clear"/>
            <w:tcMar>
              <w:top w:w="0" w:type="dxa"/>
              <w:left w:w="0" w:type="dxa"/>
              <w:bottom w:w="0" w:type="dxa"/>
              <w:right w:w="0" w:type="dxa"/>
            </w:tcMar>
            <w:vAlign w:val="center"/>
          </w:tcPr>
          <w:p w14:paraId="135503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1批</w:t>
            </w:r>
          </w:p>
        </w:tc>
        <w:tc>
          <w:tcPr>
            <w:tcW w:w="0" w:type="auto"/>
            <w:shd w:val="clear"/>
            <w:tcMar>
              <w:top w:w="0" w:type="dxa"/>
              <w:left w:w="0" w:type="dxa"/>
              <w:bottom w:w="0" w:type="dxa"/>
              <w:right w:w="0" w:type="dxa"/>
            </w:tcMar>
            <w:vAlign w:val="center"/>
          </w:tcPr>
          <w:p w14:paraId="16FCD6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78000</w:t>
            </w:r>
          </w:p>
        </w:tc>
        <w:tc>
          <w:tcPr>
            <w:tcW w:w="0" w:type="auto"/>
            <w:vMerge w:val="continue"/>
            <w:shd w:val="clear"/>
            <w:tcMar>
              <w:top w:w="0" w:type="dxa"/>
              <w:left w:w="0" w:type="dxa"/>
              <w:bottom w:w="0" w:type="dxa"/>
              <w:right w:w="0" w:type="dxa"/>
            </w:tcMar>
            <w:vAlign w:val="center"/>
          </w:tcPr>
          <w:p w14:paraId="776A7437">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7D076065">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2AA79FD7">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r>
      <w:tr w14:paraId="698D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0" w:type="auto"/>
            <w:vMerge w:val="continue"/>
            <w:shd w:val="clear"/>
            <w:tcMar>
              <w:top w:w="0" w:type="dxa"/>
              <w:left w:w="0" w:type="dxa"/>
              <w:bottom w:w="0" w:type="dxa"/>
              <w:right w:w="0" w:type="dxa"/>
            </w:tcMar>
            <w:vAlign w:val="center"/>
          </w:tcPr>
          <w:p w14:paraId="20DC8792">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shd w:val="clear"/>
            <w:tcMar>
              <w:top w:w="0" w:type="dxa"/>
              <w:left w:w="0" w:type="dxa"/>
              <w:bottom w:w="0" w:type="dxa"/>
              <w:right w:w="0" w:type="dxa"/>
            </w:tcMar>
            <w:vAlign w:val="center"/>
          </w:tcPr>
          <w:p w14:paraId="22740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1-3</w:t>
            </w:r>
          </w:p>
        </w:tc>
        <w:tc>
          <w:tcPr>
            <w:tcW w:w="0" w:type="auto"/>
            <w:shd w:val="clear"/>
            <w:tcMar>
              <w:top w:w="0" w:type="dxa"/>
              <w:left w:w="0" w:type="dxa"/>
              <w:bottom w:w="0" w:type="dxa"/>
              <w:right w:w="0" w:type="dxa"/>
            </w:tcMar>
            <w:vAlign w:val="center"/>
          </w:tcPr>
          <w:p w14:paraId="04806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数字内容加工处理服务</w:t>
            </w:r>
          </w:p>
        </w:tc>
        <w:tc>
          <w:tcPr>
            <w:tcW w:w="0" w:type="auto"/>
            <w:shd w:val="clear"/>
            <w:tcMar>
              <w:top w:w="0" w:type="dxa"/>
              <w:left w:w="0" w:type="dxa"/>
              <w:bottom w:w="0" w:type="dxa"/>
              <w:right w:w="0" w:type="dxa"/>
            </w:tcMar>
            <w:vAlign w:val="center"/>
          </w:tcPr>
          <w:p w14:paraId="705C1E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《组态控制技术》在线课程资源</w:t>
            </w:r>
          </w:p>
        </w:tc>
        <w:tc>
          <w:tcPr>
            <w:tcW w:w="0" w:type="auto"/>
            <w:shd w:val="clear"/>
            <w:tcMar>
              <w:top w:w="0" w:type="dxa"/>
              <w:left w:w="0" w:type="dxa"/>
              <w:bottom w:w="0" w:type="dxa"/>
              <w:right w:w="0" w:type="dxa"/>
            </w:tcMar>
            <w:vAlign w:val="center"/>
          </w:tcPr>
          <w:p w14:paraId="3D81B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1批</w:t>
            </w:r>
          </w:p>
        </w:tc>
        <w:tc>
          <w:tcPr>
            <w:tcW w:w="0" w:type="auto"/>
            <w:shd w:val="clear"/>
            <w:tcMar>
              <w:top w:w="0" w:type="dxa"/>
              <w:left w:w="0" w:type="dxa"/>
              <w:bottom w:w="0" w:type="dxa"/>
              <w:right w:w="0" w:type="dxa"/>
            </w:tcMar>
            <w:vAlign w:val="center"/>
          </w:tcPr>
          <w:p w14:paraId="439D0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77000</w:t>
            </w:r>
          </w:p>
        </w:tc>
        <w:tc>
          <w:tcPr>
            <w:tcW w:w="0" w:type="auto"/>
            <w:vMerge w:val="continue"/>
            <w:shd w:val="clear"/>
            <w:tcMar>
              <w:top w:w="0" w:type="dxa"/>
              <w:left w:w="0" w:type="dxa"/>
              <w:bottom w:w="0" w:type="dxa"/>
              <w:right w:w="0" w:type="dxa"/>
            </w:tcMar>
            <w:vAlign w:val="center"/>
          </w:tcPr>
          <w:p w14:paraId="7D8EBCBB">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7F95D33C">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662B9D8C">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r>
      <w:tr w14:paraId="1279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15" w:hRule="atLeast"/>
        </w:trPr>
        <w:tc>
          <w:tcPr>
            <w:tcW w:w="0" w:type="auto"/>
            <w:vMerge w:val="continue"/>
            <w:shd w:val="clear"/>
            <w:tcMar>
              <w:top w:w="0" w:type="dxa"/>
              <w:left w:w="0" w:type="dxa"/>
              <w:bottom w:w="0" w:type="dxa"/>
              <w:right w:w="0" w:type="dxa"/>
            </w:tcMar>
            <w:vAlign w:val="center"/>
          </w:tcPr>
          <w:p w14:paraId="23F9FC48">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shd w:val="clear"/>
            <w:tcMar>
              <w:top w:w="0" w:type="dxa"/>
              <w:left w:w="0" w:type="dxa"/>
              <w:bottom w:w="0" w:type="dxa"/>
              <w:right w:w="0" w:type="dxa"/>
            </w:tcMar>
            <w:vAlign w:val="center"/>
          </w:tcPr>
          <w:p w14:paraId="7729FD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1-4</w:t>
            </w:r>
          </w:p>
        </w:tc>
        <w:tc>
          <w:tcPr>
            <w:tcW w:w="0" w:type="auto"/>
            <w:shd w:val="clear"/>
            <w:tcMar>
              <w:top w:w="0" w:type="dxa"/>
              <w:left w:w="0" w:type="dxa"/>
              <w:bottom w:w="0" w:type="dxa"/>
              <w:right w:w="0" w:type="dxa"/>
            </w:tcMar>
            <w:vAlign w:val="center"/>
          </w:tcPr>
          <w:p w14:paraId="08E30E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数字内容加工处理服务</w:t>
            </w:r>
          </w:p>
        </w:tc>
        <w:tc>
          <w:tcPr>
            <w:tcW w:w="0" w:type="auto"/>
            <w:shd w:val="clear"/>
            <w:tcMar>
              <w:top w:w="0" w:type="dxa"/>
              <w:left w:w="0" w:type="dxa"/>
              <w:bottom w:w="0" w:type="dxa"/>
              <w:right w:w="0" w:type="dxa"/>
            </w:tcMar>
            <w:vAlign w:val="center"/>
          </w:tcPr>
          <w:p w14:paraId="7A8ADE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《机械制造基础》在线课程资源</w:t>
            </w:r>
          </w:p>
        </w:tc>
        <w:tc>
          <w:tcPr>
            <w:tcW w:w="0" w:type="auto"/>
            <w:shd w:val="clear"/>
            <w:tcMar>
              <w:top w:w="0" w:type="dxa"/>
              <w:left w:w="0" w:type="dxa"/>
              <w:bottom w:w="0" w:type="dxa"/>
              <w:right w:w="0" w:type="dxa"/>
            </w:tcMar>
            <w:vAlign w:val="center"/>
          </w:tcPr>
          <w:p w14:paraId="04F44E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1批</w:t>
            </w:r>
          </w:p>
        </w:tc>
        <w:tc>
          <w:tcPr>
            <w:tcW w:w="0" w:type="auto"/>
            <w:shd w:val="clear"/>
            <w:tcMar>
              <w:top w:w="0" w:type="dxa"/>
              <w:left w:w="0" w:type="dxa"/>
              <w:bottom w:w="0" w:type="dxa"/>
              <w:right w:w="0" w:type="dxa"/>
            </w:tcMar>
            <w:vAlign w:val="center"/>
          </w:tcPr>
          <w:p w14:paraId="629018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75000</w:t>
            </w:r>
          </w:p>
        </w:tc>
        <w:tc>
          <w:tcPr>
            <w:tcW w:w="0" w:type="auto"/>
            <w:vMerge w:val="continue"/>
            <w:shd w:val="clear"/>
            <w:tcMar>
              <w:top w:w="0" w:type="dxa"/>
              <w:left w:w="0" w:type="dxa"/>
              <w:bottom w:w="0" w:type="dxa"/>
              <w:right w:w="0" w:type="dxa"/>
            </w:tcMar>
            <w:vAlign w:val="center"/>
          </w:tcPr>
          <w:p w14:paraId="2FAB95EB">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3556FC6F">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c>
          <w:tcPr>
            <w:tcW w:w="0" w:type="auto"/>
            <w:vMerge w:val="continue"/>
            <w:shd w:val="clear"/>
            <w:tcMar>
              <w:top w:w="0" w:type="dxa"/>
              <w:left w:w="0" w:type="dxa"/>
              <w:bottom w:w="0" w:type="dxa"/>
              <w:right w:w="0" w:type="dxa"/>
            </w:tcMar>
            <w:vAlign w:val="center"/>
          </w:tcPr>
          <w:p w14:paraId="3BD3A71A">
            <w:pPr>
              <w:keepNext w:val="0"/>
              <w:keepLines w:val="0"/>
              <w:pageBreakBefore w:val="0"/>
              <w:kinsoku/>
              <w:wordWrap/>
              <w:overflowPunct/>
              <w:topLinePunct w:val="0"/>
              <w:autoSpaceDE/>
              <w:autoSpaceDN/>
              <w:bidi w:val="0"/>
              <w:adjustRightInd/>
              <w:snapToGrid/>
              <w:spacing w:before="0" w:after="0" w:line="360" w:lineRule="auto"/>
              <w:ind w:left="0" w:right="0" w:firstLine="0"/>
              <w:jc w:val="center"/>
              <w:rPr>
                <w:rFonts w:hint="eastAsia" w:ascii="宋体" w:hAnsi="宋体" w:eastAsia="宋体" w:cs="宋体"/>
                <w:sz w:val="24"/>
                <w:szCs w:val="24"/>
                <w:vertAlign w:val="baseline"/>
              </w:rPr>
            </w:pPr>
          </w:p>
        </w:tc>
      </w:tr>
    </w:tbl>
    <w:p w14:paraId="74873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注：</w:t>
      </w:r>
    </w:p>
    <w:p w14:paraId="750A0A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1、投标人可按合同包投标，对同一合同包内所有品目号内容投标时必须完整。评标与授标以合同包为单位。</w:t>
      </w:r>
    </w:p>
    <w:p w14:paraId="48BCBB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2、投标人报价应包含履行本项目等一切费用。</w:t>
      </w:r>
    </w:p>
    <w:p w14:paraId="4866B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3、中标人不得转包他人，若发现转包，采购人有权终止协议。</w:t>
      </w:r>
    </w:p>
    <w:p w14:paraId="70C4C0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合同履行期限：合同签订后60天内交货（其中“《机械制造基础》在线课程资源”交付时间为合同签订后90天内交货）</w:t>
      </w:r>
    </w:p>
    <w:p w14:paraId="1720A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 不接受  )联合体投标。</w:t>
      </w:r>
    </w:p>
    <w:p w14:paraId="11AF10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二、申请人的资格要求：</w:t>
      </w:r>
    </w:p>
    <w:p w14:paraId="45F39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1.满足《中华人民共和国政府采购法》第二十二条规定；</w:t>
      </w:r>
    </w:p>
    <w:p w14:paraId="69A94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2.落实政府采购政策需满足的资格要求：</w:t>
      </w:r>
    </w:p>
    <w:p w14:paraId="39184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详见本公告“六、其他补充事宜”</w:t>
      </w:r>
    </w:p>
    <w:p w14:paraId="0AF05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3.本项目的特定资格要求：详见本公告“六、其他补充事宜”</w:t>
      </w:r>
    </w:p>
    <w:p w14:paraId="550B9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三、获取招标文件</w:t>
      </w:r>
    </w:p>
    <w:p w14:paraId="7B01F4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时间：2024年10月18日  至 2024年10月25日，每天上午8:30至12:00，下午14:30至18:00。（北京时间，法定节假日除外）</w:t>
      </w:r>
    </w:p>
    <w:p w14:paraId="43292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地点：福建省福州市晋安区王庄街道福新中路75号永同昌大厦11层05、06室</w:t>
      </w:r>
    </w:p>
    <w:p w14:paraId="02FB48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方式：现场报名获取或邮件报名获取(双休日、法定节假日除外) ，潜在供应商购买招标文件应填写《采购文件报名登记表》，方为有效报名。 A.报名期限内，供应商选择现场报名的，应前往代理机构现场购买招标文件，并填写《采购文件报名登记表》。 B.报名期限内，供应商选择邮件报名的，须将招标文件购买费用以银行转账的形式汇入本项目采购公告中所附的指定账户中，同时将汇款凭证及供应商的相关信息均加盖投标人公章后（具体见本公告附件《采购文件报名登记表》，供应商自行下载填写，登记时间以报名费汇款时间为准。），以电子邮件形式发送至代理机构电子信箱（fjhsxmgl@163.com），并致电项目经办人员确认报名成功与否。报名材料审核通过后，代理机构联系人向供应商邮箱发送招标文件电子版。</w:t>
      </w:r>
    </w:p>
    <w:p w14:paraId="7C203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售价：￥200.0 元，本公告包含的招标文件售价总和</w:t>
      </w:r>
    </w:p>
    <w:p w14:paraId="38107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四、提交投标文件截止时间、开标时间和地点</w:t>
      </w:r>
    </w:p>
    <w:p w14:paraId="2B52B2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提交投标文件截止时间：2024年11月08日 09点00分（北京时间）</w:t>
      </w:r>
    </w:p>
    <w:p w14:paraId="4CFD3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开标时间：2024年11月08日 09点00分（北京时间）</w:t>
      </w:r>
    </w:p>
    <w:p w14:paraId="49FBBF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地点：福建省福州市晋安区王庄街道福新中路75号永同昌大厦11层05、06室开标室</w:t>
      </w:r>
    </w:p>
    <w:p w14:paraId="5D03E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五、公告期限</w:t>
      </w:r>
    </w:p>
    <w:p w14:paraId="74FD70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自本公告发布之日起5个工作日。</w:t>
      </w:r>
    </w:p>
    <w:p w14:paraId="403A3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六、其他补充事宜</w:t>
      </w:r>
    </w:p>
    <w:p w14:paraId="2A862C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1、招标文件购买费用、招标代理服务费缴交银行账号</w:t>
      </w:r>
    </w:p>
    <w:p w14:paraId="0941D3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开户名称：福建火山项目管理有限公司</w:t>
      </w:r>
    </w:p>
    <w:p w14:paraId="26E612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开户银行：兴业银行股份有限公司福州总行大厦营业部</w:t>
      </w:r>
    </w:p>
    <w:p w14:paraId="21E66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银行账号：117010100100458598</w:t>
      </w:r>
    </w:p>
    <w:p w14:paraId="41C43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2、代理机构电子信箱：fjhsxmgl@163.com</w:t>
      </w:r>
    </w:p>
    <w:p w14:paraId="559D95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383838"/>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3、供应商的资格要求：</w:t>
      </w:r>
    </w:p>
    <w:p w14:paraId="59DE1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①一般资格证明文件：</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554"/>
        <w:gridCol w:w="8197"/>
      </w:tblGrid>
      <w:tr w14:paraId="08E9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ED63C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Style w:val="7"/>
                <w:rFonts w:hint="eastAsia" w:ascii="宋体" w:hAnsi="宋体" w:eastAsia="宋体" w:cs="宋体"/>
                <w:b/>
                <w:bCs/>
                <w:sz w:val="24"/>
                <w:szCs w:val="24"/>
                <w:bdr w:val="none" w:color="auto" w:sz="0" w:space="0"/>
                <w:vertAlign w:val="baseline"/>
              </w:rPr>
              <w:t>明细</w:t>
            </w:r>
          </w:p>
        </w:tc>
        <w:tc>
          <w:tcPr>
            <w:tcW w:w="0" w:type="auto"/>
            <w:shd w:val="clear"/>
            <w:tcMar>
              <w:top w:w="0" w:type="dxa"/>
              <w:left w:w="0" w:type="dxa"/>
              <w:bottom w:w="0" w:type="dxa"/>
              <w:right w:w="0" w:type="dxa"/>
            </w:tcMar>
            <w:vAlign w:val="center"/>
          </w:tcPr>
          <w:p w14:paraId="6C580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Style w:val="7"/>
                <w:rFonts w:hint="eastAsia" w:ascii="宋体" w:hAnsi="宋体" w:eastAsia="宋体" w:cs="宋体"/>
                <w:b/>
                <w:bCs/>
                <w:sz w:val="24"/>
                <w:szCs w:val="24"/>
                <w:bdr w:val="none" w:color="auto" w:sz="0" w:space="0"/>
                <w:vertAlign w:val="baseline"/>
              </w:rPr>
              <w:t>描述</w:t>
            </w:r>
          </w:p>
        </w:tc>
      </w:tr>
      <w:tr w14:paraId="6A38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735D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单位负责人授权书</w:t>
            </w:r>
          </w:p>
        </w:tc>
        <w:tc>
          <w:tcPr>
            <w:tcW w:w="0" w:type="auto"/>
            <w:shd w:val="clear"/>
            <w:tcMar>
              <w:top w:w="0" w:type="dxa"/>
              <w:left w:w="0" w:type="dxa"/>
              <w:bottom w:w="0" w:type="dxa"/>
              <w:right w:w="0" w:type="dxa"/>
            </w:tcMar>
            <w:vAlign w:val="center"/>
          </w:tcPr>
          <w:p w14:paraId="53A48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1、企业(银行、保险、石油石化、电力、电信等行业除外)、事业单位和社会团体法人的“单位负责人”指法定代表人，即与实际提交的“营业执照等证明文件”载明的一致。</w:t>
            </w:r>
          </w:p>
          <w:p w14:paraId="5B3998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2033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3、投标人(自然人除外)：若投标人代表为单位负责人授权的委托代理人，应提供本授权书；若投标人代表为单位负责人，应在此项下提交其身份证正反面复印件，可不提供本授权书。</w:t>
            </w:r>
          </w:p>
          <w:p w14:paraId="266BBC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4、投标人为自然人的，可不填写本授权书。</w:t>
            </w:r>
          </w:p>
          <w:p w14:paraId="7FBCF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5、纸质投标文件正本中的本授权书应为原件。</w:t>
            </w:r>
          </w:p>
          <w:p w14:paraId="6F743A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※投标人应按照招标文件第七章规定提供。</w:t>
            </w:r>
          </w:p>
        </w:tc>
      </w:tr>
      <w:tr w14:paraId="570F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C0DC4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营业执照等证明文件</w:t>
            </w:r>
          </w:p>
        </w:tc>
        <w:tc>
          <w:tcPr>
            <w:tcW w:w="0" w:type="auto"/>
            <w:shd w:val="clear"/>
            <w:tcMar>
              <w:top w:w="0" w:type="dxa"/>
              <w:left w:w="0" w:type="dxa"/>
              <w:bottom w:w="0" w:type="dxa"/>
              <w:right w:w="0" w:type="dxa"/>
            </w:tcMar>
            <w:vAlign w:val="center"/>
          </w:tcPr>
          <w:p w14:paraId="7288B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w:t>
            </w:r>
          </w:p>
          <w:p w14:paraId="410E79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2、投标人提供的相应证明材料复印件均应符合：内容完整、清晰、整洁，并由投标人加盖其单位公章。</w:t>
            </w:r>
          </w:p>
          <w:p w14:paraId="2D8D6E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※投标人应按照招标文件第七章规定提供。</w:t>
            </w:r>
          </w:p>
        </w:tc>
      </w:tr>
      <w:tr w14:paraId="6BD2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A088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财务状况报告（财务报告、或资信证明、或投标担保函）</w:t>
            </w:r>
          </w:p>
        </w:tc>
        <w:tc>
          <w:tcPr>
            <w:tcW w:w="0" w:type="auto"/>
            <w:shd w:val="clear"/>
            <w:tcMar>
              <w:top w:w="0" w:type="dxa"/>
              <w:left w:w="0" w:type="dxa"/>
              <w:bottom w:w="0" w:type="dxa"/>
              <w:right w:w="0" w:type="dxa"/>
            </w:tcMar>
            <w:vAlign w:val="center"/>
          </w:tcPr>
          <w:p w14:paraId="1EE1F7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1、投标人提供的财务报告复印件（成立年限按照投标截止时间推算）应符合下列规定：</w:t>
            </w:r>
          </w:p>
          <w:p w14:paraId="71950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1.1成立年限满1年及以上的投标人，提供经审计的上一年度的年度财务报告，至少包括“资产负债表、利润表、现金流量表、所有者权益变动表（若有）及其附注（若有）”。</w:t>
            </w:r>
          </w:p>
          <w:p w14:paraId="56FEE5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1.2成立年限满半年但不足1年的投标人，提供该半年度中任一季度的季度财务报告或该半年度的半年度财务报告。</w:t>
            </w:r>
          </w:p>
          <w:p w14:paraId="0DEB65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※无法按照第1.1、1.2条规定提供财务报告复印件的投标人（包括但不限于：成立年限满1年及以上的投标人、成立年限满半年但不足1年的投标人、成立年限不足半年的投标人），应选择提供资信证明复印件。</w:t>
            </w:r>
          </w:p>
          <w:p w14:paraId="234B5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注：</w:t>
            </w:r>
          </w:p>
          <w:p w14:paraId="3E933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1、若投标人提供资信证明中有注明“复印件无效”等内容的，投标人须在投标文件正本中提供资信证明书原件。</w:t>
            </w:r>
          </w:p>
          <w:p w14:paraId="5C332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2、投标人提供的相应证明材料复印件均应符合：内容完整、清晰、整洁，并由投标人加盖其单位公章。</w:t>
            </w:r>
          </w:p>
          <w:p w14:paraId="2337C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※投标人应按照招标文件第七章规定提供。</w:t>
            </w:r>
          </w:p>
        </w:tc>
      </w:tr>
      <w:tr w14:paraId="35D7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60B95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依法缴纳税收证明材料</w:t>
            </w:r>
          </w:p>
        </w:tc>
        <w:tc>
          <w:tcPr>
            <w:tcW w:w="0" w:type="auto"/>
            <w:shd w:val="clear"/>
            <w:tcMar>
              <w:top w:w="0" w:type="dxa"/>
              <w:left w:w="0" w:type="dxa"/>
              <w:bottom w:w="0" w:type="dxa"/>
              <w:right w:w="0" w:type="dxa"/>
            </w:tcMar>
            <w:vAlign w:val="center"/>
          </w:tcPr>
          <w:p w14:paraId="13C01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1、投标人提供的税收凭据复印件应符合下列规定：</w:t>
            </w:r>
          </w:p>
          <w:p w14:paraId="008067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1.1投标截止时间前（不含投标截止时间的当月）已依法缴纳税收的投标人，提供投标截止时间前六个月（不含投标截止时间的当月）中任一月份的税收凭据复印件。</w:t>
            </w:r>
          </w:p>
          <w:p w14:paraId="1E6BB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1.2投标截止时间的当月成立且已依法缴纳税收的投标人，提供投标截止时间当月的税收凭据复印件。</w:t>
            </w:r>
          </w:p>
          <w:p w14:paraId="01563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1.3投标截止时间的当月成立但因税务机关原因导致其尚未依法缴纳税收的投标人，提供依法缴纳税收承诺书原件（格式自拟），该承诺书视同税收凭据。</w:t>
            </w:r>
          </w:p>
          <w:p w14:paraId="477D9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2、“依法缴纳税收证明材料”有欠缴记录的，视为未依法缴纳税收。</w:t>
            </w:r>
          </w:p>
          <w:p w14:paraId="7BF875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3、投标人提供的相应证明材料复印件均应符合：内容完整、清晰、整洁，并由投标人加盖其单位公章。</w:t>
            </w:r>
          </w:p>
          <w:p w14:paraId="2554EB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※投标人应按照招标文件第七章规定提供。</w:t>
            </w:r>
          </w:p>
        </w:tc>
      </w:tr>
      <w:tr w14:paraId="6B9E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5659C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依法缴纳社会保障资金证明材料</w:t>
            </w:r>
          </w:p>
        </w:tc>
        <w:tc>
          <w:tcPr>
            <w:tcW w:w="0" w:type="auto"/>
            <w:shd w:val="clear"/>
            <w:tcMar>
              <w:top w:w="0" w:type="dxa"/>
              <w:left w:w="0" w:type="dxa"/>
              <w:bottom w:w="0" w:type="dxa"/>
              <w:right w:w="0" w:type="dxa"/>
            </w:tcMar>
            <w:vAlign w:val="center"/>
          </w:tcPr>
          <w:p w14:paraId="5925A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1、投标人提供的社会保险凭据复印件应符合下列规定：</w:t>
            </w:r>
          </w:p>
          <w:p w14:paraId="28D7D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1.1投标截止时间前（不含投标截止时间的当月）已依法缴纳社会保障资金的投标人，提供投标截止时间前六个月（不含投标截止时间的当月）中任一月份的社会保险凭据复印件。</w:t>
            </w:r>
          </w:p>
          <w:p w14:paraId="0F562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1.2投标截止时间的当月成立且已依法缴纳社会保障资金的投标人，提供投标截止时间当月的社会保险凭据复印件。</w:t>
            </w:r>
          </w:p>
          <w:p w14:paraId="02A89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1.3投标截止时间的当月成立但因税务机关/社会保障资金管理机关原因导致其尚未依法缴纳社会保障资金的投标人，提供依法缴纳社会保障资金承诺书原件（格式自拟），该承诺书视同社会保险凭据。</w:t>
            </w:r>
          </w:p>
          <w:p w14:paraId="1B4820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2、“依法缴纳社会保障资金证明材料”有欠缴记录的，视为未依法缴纳社会保障资金。</w:t>
            </w:r>
          </w:p>
          <w:p w14:paraId="22AAF3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3、投标人提供的相应证明材料复印件均应符合：内容完整、清晰、整洁，并由投标人加盖其单位公章。</w:t>
            </w:r>
          </w:p>
          <w:p w14:paraId="5D829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※投标人应按照招标文件第七章规定提供。</w:t>
            </w:r>
          </w:p>
        </w:tc>
      </w:tr>
      <w:tr w14:paraId="45EC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DFD69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具备履行合同所必需设备和专业技术能力的专项证明材料</w:t>
            </w:r>
          </w:p>
        </w:tc>
        <w:tc>
          <w:tcPr>
            <w:tcW w:w="0" w:type="auto"/>
            <w:shd w:val="clear"/>
            <w:tcMar>
              <w:top w:w="0" w:type="dxa"/>
              <w:left w:w="0" w:type="dxa"/>
              <w:bottom w:w="0" w:type="dxa"/>
              <w:right w:w="0" w:type="dxa"/>
            </w:tcMar>
            <w:vAlign w:val="center"/>
          </w:tcPr>
          <w:p w14:paraId="41EAA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1、是指投标人应提供“具备履行合同所必需设备和专业技术能力的声明函”，格式自拟。</w:t>
            </w:r>
          </w:p>
          <w:p w14:paraId="19599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2、纸质投标文件正本中的本声明应为原件。</w:t>
            </w:r>
          </w:p>
        </w:tc>
      </w:tr>
      <w:tr w14:paraId="6E88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6F2B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参加采购活动前三年内在经营活动中没有重大违法记录书面声明</w:t>
            </w:r>
          </w:p>
        </w:tc>
        <w:tc>
          <w:tcPr>
            <w:tcW w:w="0" w:type="auto"/>
            <w:shd w:val="clear"/>
            <w:tcMar>
              <w:top w:w="0" w:type="dxa"/>
              <w:left w:w="0" w:type="dxa"/>
              <w:bottom w:w="0" w:type="dxa"/>
              <w:right w:w="0" w:type="dxa"/>
            </w:tcMar>
            <w:vAlign w:val="center"/>
          </w:tcPr>
          <w:p w14:paraId="7E19EF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1、是指投标人应提供“参加采购活动前三年内在经营活动中没有重大违法记录书面声明”，格式自拟。</w:t>
            </w:r>
          </w:p>
          <w:p w14:paraId="02508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2、纸质投标文件正本中的本声明应为原件。</w:t>
            </w:r>
          </w:p>
        </w:tc>
      </w:tr>
      <w:tr w14:paraId="3DD6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94A7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信用记录查询结果</w:t>
            </w:r>
          </w:p>
        </w:tc>
        <w:tc>
          <w:tcPr>
            <w:tcW w:w="0" w:type="auto"/>
            <w:shd w:val="clear"/>
            <w:tcMar>
              <w:top w:w="0" w:type="dxa"/>
              <w:left w:w="0" w:type="dxa"/>
              <w:bottom w:w="0" w:type="dxa"/>
              <w:right w:w="0" w:type="dxa"/>
            </w:tcMar>
            <w:vAlign w:val="center"/>
          </w:tcPr>
          <w:p w14:paraId="1FE67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1、信用记录查询的截止时点：信用记录查询的截止时点为本项目投标截止当日。</w:t>
            </w:r>
          </w:p>
          <w:p w14:paraId="4B1640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2、信用记录查询渠道：信用中国（www.creditchina.gov.cn）、中国政府采购网（www.ccgp.gov.cn）。</w:t>
            </w:r>
          </w:p>
          <w:p w14:paraId="4725B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3、信用记录的查询：由资格审查小组通过上述网站查询并打印投标人的信用记录。</w:t>
            </w:r>
          </w:p>
          <w:p w14:paraId="5F342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4、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6F0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2F37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近三年无行贿犯罪记录的声明函</w:t>
            </w:r>
          </w:p>
        </w:tc>
        <w:tc>
          <w:tcPr>
            <w:tcW w:w="0" w:type="auto"/>
            <w:shd w:val="clear"/>
            <w:tcMar>
              <w:top w:w="0" w:type="dxa"/>
              <w:left w:w="0" w:type="dxa"/>
              <w:bottom w:w="0" w:type="dxa"/>
              <w:right w:w="0" w:type="dxa"/>
            </w:tcMar>
            <w:vAlign w:val="center"/>
          </w:tcPr>
          <w:p w14:paraId="0F7ADA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1、是指投标人应提供“参加采购活动前三年内无行贿犯罪记录的书面声明函”，格式自拟。</w:t>
            </w:r>
          </w:p>
          <w:p w14:paraId="0FF6B3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2、纸质投标文件正本中的本声明应为原件。</w:t>
            </w:r>
          </w:p>
        </w:tc>
      </w:tr>
      <w:tr w14:paraId="4E0E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15" w:hRule="atLeast"/>
        </w:trPr>
        <w:tc>
          <w:tcPr>
            <w:tcW w:w="0" w:type="auto"/>
            <w:shd w:val="clear"/>
            <w:tcMar>
              <w:top w:w="0" w:type="dxa"/>
              <w:left w:w="0" w:type="dxa"/>
              <w:bottom w:w="0" w:type="dxa"/>
              <w:right w:w="0" w:type="dxa"/>
            </w:tcMar>
            <w:vAlign w:val="center"/>
          </w:tcPr>
          <w:p w14:paraId="08876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联合体投标</w:t>
            </w:r>
          </w:p>
        </w:tc>
        <w:tc>
          <w:tcPr>
            <w:tcW w:w="0" w:type="auto"/>
            <w:shd w:val="clear"/>
            <w:tcMar>
              <w:top w:w="0" w:type="dxa"/>
              <w:left w:w="0" w:type="dxa"/>
              <w:bottom w:w="0" w:type="dxa"/>
              <w:right w:w="0" w:type="dxa"/>
            </w:tcMar>
            <w:vAlign w:val="center"/>
          </w:tcPr>
          <w:p w14:paraId="38B0E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本项目不接受联合体投标。</w:t>
            </w:r>
          </w:p>
        </w:tc>
      </w:tr>
    </w:tbl>
    <w:p w14:paraId="45393C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②.其他资格证明文件：</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753"/>
        <w:gridCol w:w="7998"/>
      </w:tblGrid>
      <w:tr w14:paraId="55C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0" w:type="auto"/>
            <w:shd w:val="clear"/>
            <w:tcMar>
              <w:top w:w="0" w:type="dxa"/>
              <w:left w:w="0" w:type="dxa"/>
              <w:bottom w:w="0" w:type="dxa"/>
              <w:right w:w="0" w:type="dxa"/>
            </w:tcMar>
            <w:vAlign w:val="top"/>
          </w:tcPr>
          <w:p w14:paraId="7DBF5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Style w:val="7"/>
                <w:rFonts w:hint="eastAsia" w:ascii="宋体" w:hAnsi="宋体" w:eastAsia="宋体" w:cs="宋体"/>
                <w:b/>
                <w:bCs/>
                <w:sz w:val="24"/>
                <w:szCs w:val="24"/>
                <w:bdr w:val="none" w:color="auto" w:sz="0" w:space="0"/>
                <w:vertAlign w:val="baseline"/>
              </w:rPr>
              <w:t>明细</w:t>
            </w:r>
          </w:p>
        </w:tc>
        <w:tc>
          <w:tcPr>
            <w:tcW w:w="0" w:type="auto"/>
            <w:shd w:val="clear"/>
            <w:tcMar>
              <w:top w:w="0" w:type="dxa"/>
              <w:left w:w="0" w:type="dxa"/>
              <w:bottom w:w="0" w:type="dxa"/>
              <w:right w:w="0" w:type="dxa"/>
            </w:tcMar>
            <w:vAlign w:val="top"/>
          </w:tcPr>
          <w:p w14:paraId="65ED6E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Style w:val="7"/>
                <w:rFonts w:hint="eastAsia" w:ascii="宋体" w:hAnsi="宋体" w:eastAsia="宋体" w:cs="宋体"/>
                <w:b/>
                <w:bCs/>
                <w:sz w:val="24"/>
                <w:szCs w:val="24"/>
                <w:bdr w:val="none" w:color="auto" w:sz="0" w:space="0"/>
                <w:vertAlign w:val="baseline"/>
              </w:rPr>
              <w:t>描述</w:t>
            </w:r>
          </w:p>
        </w:tc>
      </w:tr>
      <w:tr w14:paraId="372A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20DF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《政府采购供应商资格承诺函》（若有）</w:t>
            </w:r>
          </w:p>
        </w:tc>
        <w:tc>
          <w:tcPr>
            <w:tcW w:w="0" w:type="auto"/>
            <w:shd w:val="clear"/>
            <w:tcMar>
              <w:top w:w="0" w:type="dxa"/>
              <w:left w:w="0" w:type="dxa"/>
              <w:bottom w:w="0" w:type="dxa"/>
              <w:right w:w="0" w:type="dxa"/>
            </w:tcMar>
            <w:vAlign w:val="top"/>
          </w:tcPr>
          <w:p w14:paraId="415E01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（1）根据《福建省财政厅关于印发推行政府采购供应商资格承诺制指导意见的通知》（闽财购〔2024〕6 号）的规定，依法在福建省参与政府采购活动的供应商，鼓励提供《政府采购供应商资格承诺函》(以下简称《承诺函》，格式见附件)，在投标(响应)文件中可不提供《中华人民共和国政府采购法实施条例》第十七条第一款规定的资格条件证明材料。供应商应对其承诺内容的真实性、合法性、有效性负责。（2）若不提供本承诺函的，应按采购文件要求提供相应的证明材料。</w:t>
            </w:r>
          </w:p>
        </w:tc>
      </w:tr>
      <w:tr w14:paraId="0AE7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93BF7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落实政府采购政策的证明材料（专门面向小微企业采购）</w:t>
            </w:r>
          </w:p>
        </w:tc>
        <w:tc>
          <w:tcPr>
            <w:tcW w:w="0" w:type="auto"/>
            <w:shd w:val="clear"/>
            <w:tcMar>
              <w:top w:w="0" w:type="dxa"/>
              <w:left w:w="0" w:type="dxa"/>
              <w:bottom w:w="0" w:type="dxa"/>
              <w:right w:w="0" w:type="dxa"/>
            </w:tcMar>
            <w:vAlign w:val="top"/>
          </w:tcPr>
          <w:p w14:paraId="022BE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本合同包专门面向小微企业采购，投标人所提供的服务应符合《政府采购促进中小企业发展管理办法》（财库〔2020〕46号）第四条规定的情形，并出具《政府采购促进中小企业发展管理办法》规定的《中小企业声明函》。本项目为服务类采购项目，采购标的对应的中小企业划分标准所属行业为“软件和信息技术服务业”（事业单位、社会组织等非企业单位不适用本条规定），若投标人提供的《中小企业声明函》中填写的行业与招标文件明确的采购标的对应的中小企业划分标准所属行业不一致的，则不予认定为小微企业。</w:t>
            </w:r>
          </w:p>
          <w:p w14:paraId="69A46F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2、投标人为监狱企业的，可不提供《中小企业声明函》，根据其提供的由省级以上监狱管理局、戒毒管理局（含新疆生产建设兵团）出具的属于监狱企业的证明文件进行认定，监狱企业视同小型、微型企业。</w:t>
            </w:r>
          </w:p>
          <w:p w14:paraId="0F7EF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3、投标人为残疾人福利性单位的，可不提供《中小企业声明函》，根据其提供的《残疾人福利性单位声明函》进行认定，残疾人福利性单位视同小型、微型企业。</w:t>
            </w:r>
          </w:p>
        </w:tc>
      </w:tr>
    </w:tbl>
    <w:p w14:paraId="286D6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Style w:val="7"/>
          <w:rFonts w:hint="eastAsia" w:ascii="宋体" w:hAnsi="宋体" w:eastAsia="宋体" w:cs="宋体"/>
          <w:b/>
          <w:bCs/>
          <w:i w:val="0"/>
          <w:iCs w:val="0"/>
          <w:caps w:val="0"/>
          <w:color w:val="383838"/>
          <w:spacing w:val="0"/>
          <w:sz w:val="24"/>
          <w:szCs w:val="24"/>
          <w:bdr w:val="none" w:color="auto" w:sz="0" w:space="0"/>
          <w:shd w:val="clear" w:fill="FFFFFF"/>
          <w:vertAlign w:val="baseline"/>
        </w:rPr>
        <w:t>七、对本次招标提出询问，请按以下方式联系。</w:t>
      </w:r>
    </w:p>
    <w:p w14:paraId="45D0D9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50427D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称：福州职业技术学院</w:t>
      </w:r>
    </w:p>
    <w:p w14:paraId="3B871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地址：福建省福州大学城联榕路8号</w:t>
      </w:r>
    </w:p>
    <w:p w14:paraId="441AD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联系方式：郑老师 0591-83760305</w:t>
      </w:r>
      <w:bookmarkStart w:id="0" w:name="_GoBack"/>
      <w:bookmarkEnd w:id="0"/>
    </w:p>
    <w:p w14:paraId="0F0A2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34874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bdr w:val="none" w:color="auto" w:sz="0" w:space="0"/>
          <w:shd w:val="clear" w:fill="FFFFFF"/>
          <w:vertAlign w:val="baseline"/>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称：福建火山项目管理有限公司</w:t>
      </w:r>
    </w:p>
    <w:p w14:paraId="004DB5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址：福建省福州市晋安区王庄街道福新中路75号永同昌大厦11层05、06室　　　　　　　　　　　　</w:t>
      </w:r>
    </w:p>
    <w:p w14:paraId="20FD7E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联系方式：陈宇晴、何丹萍、林鹭 0591-83666679</w:t>
      </w:r>
    </w:p>
    <w:p w14:paraId="2E2CCA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39F536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项目联系人：陈宇晴、何丹萍、林鹭</w:t>
      </w:r>
    </w:p>
    <w:p w14:paraId="23F12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0591-83666679</w:t>
      </w:r>
    </w:p>
    <w:p w14:paraId="2AC3D4DA">
      <w:pPr>
        <w:keepNext w:val="0"/>
        <w:keepLines w:val="0"/>
        <w:pageBreakBefore w:val="0"/>
        <w:widowControl/>
        <w:suppressLineNumbers w:val="0"/>
        <w:pBdr>
          <w:top w:val="single" w:color="DDDDDD" w:sz="6" w:space="16"/>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shd w:val="clear" w:fill="FFFFFF"/>
          <w:vertAlign w:val="baseline"/>
          <w:lang w:val="en-US" w:eastAsia="zh-CN" w:bidi="ar"/>
        </w:rPr>
        <w:t>　</w:t>
      </w:r>
    </w:p>
    <w:tbl>
      <w:tblPr>
        <w:tblW w:w="0" w:type="auto"/>
        <w:tblInd w:w="0" w:type="dxa"/>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Layout w:type="autofit"/>
        <w:tblCellMar>
          <w:top w:w="15" w:type="dxa"/>
          <w:left w:w="15" w:type="dxa"/>
          <w:bottom w:w="15" w:type="dxa"/>
          <w:right w:w="15" w:type="dxa"/>
        </w:tblCellMar>
      </w:tblPr>
      <w:tblGrid>
        <w:gridCol w:w="4248"/>
      </w:tblGrid>
      <w:tr w14:paraId="0DFBE100">
        <w:tblPrEx>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CellMar>
            <w:top w:w="15" w:type="dxa"/>
            <w:left w:w="15" w:type="dxa"/>
            <w:bottom w:w="15" w:type="dxa"/>
            <w:right w:w="15" w:type="dxa"/>
          </w:tblCellMar>
        </w:tblPrEx>
        <w:tc>
          <w:tcPr>
            <w:tcW w:w="0" w:type="auto"/>
            <w:tcBorders>
              <w:top w:val="single" w:color="BFBFBF" w:sz="6" w:space="0"/>
              <w:left w:val="single" w:color="BFBFBF" w:sz="6" w:space="0"/>
            </w:tcBorders>
            <w:shd w:val="clear" w:color="auto" w:fill="FFFFFF"/>
            <w:tcMar>
              <w:top w:w="75" w:type="dxa"/>
              <w:left w:w="75" w:type="dxa"/>
              <w:bottom w:w="75" w:type="dxa"/>
              <w:right w:w="75" w:type="dxa"/>
            </w:tcMar>
            <w:vAlign w:val="top"/>
          </w:tcPr>
          <w:p w14:paraId="736C9253">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left"/>
              <w:textAlignment w:val="baseline"/>
              <w:rPr>
                <w:rFonts w:hint="eastAsia" w:ascii="宋体" w:hAnsi="宋体" w:eastAsia="宋体" w:cs="宋体"/>
                <w:b/>
                <w:bCs/>
                <w:color w:val="888888"/>
                <w:sz w:val="24"/>
                <w:szCs w:val="24"/>
              </w:rPr>
            </w:pPr>
            <w:r>
              <w:rPr>
                <w:rFonts w:hint="eastAsia" w:ascii="宋体" w:hAnsi="宋体" w:eastAsia="宋体" w:cs="宋体"/>
                <w:b/>
                <w:bCs/>
                <w:color w:val="888888"/>
                <w:kern w:val="0"/>
                <w:sz w:val="24"/>
                <w:szCs w:val="24"/>
                <w:bdr w:val="none" w:color="auto" w:sz="0" w:space="0"/>
                <w:vertAlign w:val="baseline"/>
                <w:lang w:val="en-US" w:eastAsia="zh-CN" w:bidi="ar"/>
              </w:rPr>
              <w:t>附件下载： </w:t>
            </w:r>
            <w:r>
              <w:rPr>
                <w:rFonts w:hint="eastAsia" w:ascii="宋体" w:hAnsi="宋体" w:eastAsia="宋体" w:cs="宋体"/>
                <w:b/>
                <w:bCs/>
                <w:color w:val="383838"/>
                <w:kern w:val="0"/>
                <w:sz w:val="24"/>
                <w:szCs w:val="24"/>
                <w:u w:val="single"/>
                <w:bdr w:val="none" w:color="auto" w:sz="0" w:space="0"/>
                <w:vertAlign w:val="baseline"/>
                <w:lang w:val="en-US" w:eastAsia="zh-CN" w:bidi="ar"/>
              </w:rPr>
              <w:fldChar w:fldCharType="begin"/>
            </w:r>
            <w:r>
              <w:rPr>
                <w:rFonts w:hint="eastAsia" w:ascii="宋体" w:hAnsi="宋体" w:eastAsia="宋体" w:cs="宋体"/>
                <w:b/>
                <w:bCs/>
                <w:color w:val="383838"/>
                <w:kern w:val="0"/>
                <w:sz w:val="24"/>
                <w:szCs w:val="24"/>
                <w:u w:val="single"/>
                <w:bdr w:val="none" w:color="auto" w:sz="0" w:space="0"/>
                <w:vertAlign w:val="baseline"/>
                <w:lang w:val="en-US" w:eastAsia="zh-CN" w:bidi="ar"/>
              </w:rPr>
              <w:instrText xml:space="preserve"> HYPERLINK "http://ncpms.ccgp.gov.cn/GS6/BidInfo/downloads?fileId=2c8382a39107d14001929ee3e40b48d5" \o "点击下载" </w:instrText>
            </w:r>
            <w:r>
              <w:rPr>
                <w:rFonts w:hint="eastAsia" w:ascii="宋体" w:hAnsi="宋体" w:eastAsia="宋体" w:cs="宋体"/>
                <w:b/>
                <w:bCs/>
                <w:color w:val="383838"/>
                <w:kern w:val="0"/>
                <w:sz w:val="24"/>
                <w:szCs w:val="24"/>
                <w:u w:val="single"/>
                <w:bdr w:val="none" w:color="auto" w:sz="0" w:space="0"/>
                <w:vertAlign w:val="baseline"/>
                <w:lang w:val="en-US" w:eastAsia="zh-CN" w:bidi="ar"/>
              </w:rPr>
              <w:fldChar w:fldCharType="separate"/>
            </w:r>
            <w:r>
              <w:rPr>
                <w:rStyle w:val="8"/>
                <w:rFonts w:hint="eastAsia" w:ascii="宋体" w:hAnsi="宋体" w:eastAsia="宋体" w:cs="宋体"/>
                <w:b/>
                <w:bCs/>
                <w:color w:val="383838"/>
                <w:sz w:val="24"/>
                <w:szCs w:val="24"/>
                <w:u w:val="single"/>
                <w:bdr w:val="none" w:color="auto" w:sz="0" w:space="0"/>
                <w:vertAlign w:val="baseline"/>
              </w:rPr>
              <w:t>采购文件报名登记表.doc</w:t>
            </w:r>
            <w:r>
              <w:rPr>
                <w:rFonts w:hint="eastAsia" w:ascii="宋体" w:hAnsi="宋体" w:eastAsia="宋体" w:cs="宋体"/>
                <w:b/>
                <w:bCs/>
                <w:color w:val="383838"/>
                <w:kern w:val="0"/>
                <w:sz w:val="24"/>
                <w:szCs w:val="24"/>
                <w:u w:val="single"/>
                <w:bdr w:val="none" w:color="auto" w:sz="0" w:space="0"/>
                <w:vertAlign w:val="baseline"/>
                <w:lang w:val="en-US" w:eastAsia="zh-CN" w:bidi="ar"/>
              </w:rPr>
              <w:fldChar w:fldCharType="end"/>
            </w:r>
          </w:p>
        </w:tc>
      </w:tr>
    </w:tbl>
    <w:p w14:paraId="31DBD7BA">
      <w:pPr>
        <w:keepNext w:val="0"/>
        <w:keepLines w:val="0"/>
        <w:pageBreakBefore w:val="0"/>
        <w:kinsoku/>
        <w:wordWrap/>
        <w:overflowPunct/>
        <w:topLinePunct w:val="0"/>
        <w:autoSpaceDE/>
        <w:autoSpaceDN/>
        <w:bidi w:val="0"/>
        <w:adjustRightInd/>
        <w:snapToGrid/>
        <w:spacing w:line="360" w:lineRule="auto"/>
        <w:ind w:left="0" w:right="0" w:firstLine="0"/>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TdhZDlmNmI4MjAzMTU1OTM1ZDA3Zjc3ZDUwZDkifQ=="/>
  </w:docVars>
  <w:rsids>
    <w:rsidRoot w:val="00000000"/>
    <w:rsid w:val="1D5C707E"/>
    <w:rsid w:val="1FF7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2024-10-18T09:19:40Z</dcterms:created>
  <dc:creator>h'g</dc:creator>
  <cp:lastModifiedBy>H</cp:lastModifiedBy>
  <dcterms:modified xsi:type="dcterms:W3CDTF">2024-10-18T09:23:06Z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8E75F4A9A8664E7C90BC36F13CEF81A8_12</vt:lpwstr>
  </property>
</Properties>
</file>