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FF0000"/>
          <w:spacing w:val="40"/>
          <w:w w:val="80"/>
          <w:kern w:val="0"/>
          <w:sz w:val="72"/>
          <w:szCs w:val="7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color w:val="FF0000"/>
          <w:spacing w:val="40"/>
          <w:w w:val="80"/>
          <w:kern w:val="0"/>
          <w:sz w:val="72"/>
          <w:szCs w:val="72"/>
        </w:rPr>
        <w:t>福州职业技术学院学生工作处</w:t>
      </w:r>
    </w:p>
    <w:bookmarkEnd w:id="0"/>
    <w:p>
      <w:pPr>
        <w:spacing w:line="580" w:lineRule="exact"/>
        <w:ind w:firstLine="2500" w:firstLineChars="2500"/>
        <w:rPr>
          <w:rFonts w:hint="eastAsia" w:ascii="仿宋_GB2312" w:eastAsia="仿宋_GB2312"/>
          <w:sz w:val="10"/>
          <w:szCs w:val="32"/>
        </w:rPr>
      </w:pPr>
    </w:p>
    <w:p>
      <w:pPr>
        <w:spacing w:line="580" w:lineRule="exact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392430</wp:posOffset>
                </wp:positionV>
                <wp:extent cx="5600700" cy="190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190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85pt;margin-top:30.9pt;height:0.15pt;width:441pt;z-index:251658240;mso-width-relative:page;mso-height-relative:page;" filled="f" stroked="t" coordsize="21600,21600" o:gfxdata="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G/LtqdcAAAAIAQAADwAA&#10;AAAAAAABACAAAAAiAAAAZHJzL2Rvd25yZXYueG1sUEsBAhQAFAAAAAgAh07iQFnlH8beAQAAmgMA&#10;AA4AAAAAAAAAAQAgAAAAJgEAAGRycy9lMm9Eb2MueG1sUEsFBgAAAAAGAAYAWQEAAHY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z w:val="32"/>
          <w:szCs w:val="32"/>
        </w:rPr>
        <w:t>榕职院学〔20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51</w:t>
      </w:r>
      <w:r>
        <w:rPr>
          <w:rFonts w:hint="eastAsia" w:ascii="仿宋_GB2312" w:hAnsi="仿宋" w:eastAsia="仿宋_GB2312"/>
          <w:sz w:val="32"/>
          <w:szCs w:val="32"/>
        </w:rPr>
        <w:t>号</w:t>
      </w:r>
    </w:p>
    <w:p>
      <w:pPr>
        <w:spacing w:line="480" w:lineRule="exact"/>
        <w:jc w:val="center"/>
        <w:rPr>
          <w:rFonts w:hint="eastAsia" w:ascii="宋体" w:hAnsi="宋体"/>
          <w:b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关于举办福州职业技术学院</w:t>
      </w:r>
    </w:p>
    <w:p>
      <w:pPr>
        <w:spacing w:line="60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年大学生职业规划大赛的通知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各学院：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exact"/>
        <w:ind w:right="0" w:firstLine="560" w:firstLineChars="200"/>
        <w:textAlignment w:val="auto"/>
        <w:outlineLvl w:val="9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根据教育部、省政府有关做好高校毕业生就业创业工作的部署要求，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以及省教育厅职业规划大赛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精神，为进一步加强高校学生职业生涯发展教育，对低年级学生着重进行职业生涯启蒙，对高年级学生着重提升职业素质和求职技能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强化普及大学生职业规划理念，提高大学生职业素质与就业能力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结合就业形势和毕业生特点，帮助毕业生调整就业预期，找准职业定位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决定举办福州职业技术学院20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年大学生职业生涯规划大赛。现将有关事项通知如下：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2" w:firstLineChars="200"/>
        <w:textAlignment w:val="auto"/>
        <w:outlineLvl w:val="9"/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大赛主题：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规划人生  成就未来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2" w:firstLineChars="200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参赛对象：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全体全日制在校生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562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、大赛流程及时间安排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b/>
          <w:sz w:val="28"/>
          <w:szCs w:val="28"/>
        </w:rPr>
        <w:t>（一）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二级</w:t>
      </w:r>
      <w:r>
        <w:rPr>
          <w:rFonts w:hint="eastAsia" w:ascii="仿宋" w:hAnsi="仿宋" w:eastAsia="仿宋" w:cs="仿宋"/>
          <w:b/>
          <w:sz w:val="28"/>
          <w:szCs w:val="28"/>
        </w:rPr>
        <w:t>学院初赛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exact"/>
        <w:ind w:righ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二级</w:t>
      </w:r>
      <w:r>
        <w:rPr>
          <w:rFonts w:hint="eastAsia" w:ascii="仿宋" w:hAnsi="仿宋" w:eastAsia="仿宋" w:cs="仿宋"/>
          <w:sz w:val="28"/>
          <w:szCs w:val="28"/>
        </w:rPr>
        <w:t>学院要积极做好大赛活动的组织领导和宣传发动工作，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以参赛者的《个人职业生涯规划书》为主要评选内容，个人人才测评情况、个人简历作为辅助评选内容；以思想性、创新性、真实性为主要评比标准，淡化文学性、艺术性。入选作品要求步骤完整、表述清楚、分析到位、目标明确、层次分明、措施具体、切实可行。</w:t>
      </w:r>
      <w:r>
        <w:rPr>
          <w:rFonts w:hint="eastAsia" w:ascii="仿宋" w:hAnsi="仿宋" w:eastAsia="仿宋" w:cs="仿宋"/>
          <w:sz w:val="28"/>
          <w:szCs w:val="28"/>
        </w:rPr>
        <w:t>需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于20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24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日之前完成学院初赛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或其他竞选形式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，遴选1-2份作品（一式5份）参加校赛，同时对本学院开展活动的有关数据进行统计，填写相关统计表（附件1），于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2020年9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25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日下班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前报送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学校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学生工作</w:t>
      </w:r>
      <w:r>
        <w:rPr>
          <w:rFonts w:hint="eastAsia" w:ascii="仿宋" w:hAnsi="仿宋" w:eastAsia="仿宋" w:cs="仿宋"/>
          <w:sz w:val="28"/>
          <w:szCs w:val="28"/>
        </w:rPr>
        <w:t>处（联系人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张忠君，联系电话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0591-837603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55</w:t>
      </w:r>
      <w:r>
        <w:rPr>
          <w:rFonts w:hint="eastAsia" w:ascii="仿宋" w:hAnsi="仿宋" w:eastAsia="仿宋" w:cs="仿宋"/>
          <w:sz w:val="28"/>
          <w:szCs w:val="28"/>
        </w:rPr>
        <w:t>），逾期当作弃权处理。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422" w:firstLineChars="150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（二）学校决赛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学校初定于2020年9月30日举办校级决赛，各学院遴选</w:t>
      </w:r>
      <w:r>
        <w:rPr>
          <w:rFonts w:hint="eastAsia" w:ascii="仿宋" w:hAnsi="仿宋" w:eastAsia="仿宋" w:cs="仿宋"/>
          <w:sz w:val="28"/>
          <w:szCs w:val="28"/>
        </w:rPr>
        <w:t>的作品参加现场自我展示及答辩，由评委现场打分，确定成绩。参赛选手按抽签顺序依次上台通过现场陈述（PPT辅助）展示个人规划作品，时间5分钟（4分钟时将给予提醒，展示时间到即停止演示）；展示结束后，进入每人2分钟的答辩环节，包括评委提问（1-2个问题）、选手应答。每人次不超过8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、奖项设置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2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一等奖1名，二等奖2名，三等奖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名，将颁发证书和奖金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,优秀奖若干名，将颁发证书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、活动规则及参赛作品要求说明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（一）参赛者要根据自己的实际情况，进行科学合理的职业生涯规划。参赛作品主题要结合个人实际与社会需求，从专业、就业、职业等方面进行个人职业规划设计。参赛者必须是参赛作品的原创作者，获奖作品如发现有抄袭、盗用等不法手段或不符合规定及违反他人著作权的，即取消获奖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（二）参赛作品要求（包含但不限于以下内容）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1．作品内容至少包括自我认知、自我定位、环境分析、短中长期职业生涯目标设定、实施行动计划制定、评估和反馈等。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2．作品内容完整、简明扼要，格式清晰，版面大方美观，创意新颖，能充分体现个性而不落俗套，能充分展现大学生朝气蓬勃的精神风貌，能充分展现职场新人的职业形象。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3．作品必须有扉页，扉页填写参赛者的真实姓名、性别、所在高校、院系、专业、年级、联系电话、E-mail、指导老师（限1人）及其联系方式等相关信息。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4．作品可选用Word（*.doc文件）、PPT（*.ppt文件）进行制作。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、相关工作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为加强参赛项目的辅导训练，学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校</w:t>
      </w:r>
      <w:r>
        <w:rPr>
          <w:rFonts w:hint="eastAsia" w:ascii="仿宋" w:hAnsi="仿宋" w:eastAsia="仿宋" w:cs="仿宋"/>
          <w:sz w:val="28"/>
          <w:szCs w:val="28"/>
        </w:rPr>
        <w:t>将安排创新创业教研室指导老师到各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二级学院</w:t>
      </w:r>
      <w:r>
        <w:rPr>
          <w:rFonts w:hint="eastAsia" w:ascii="仿宋" w:hAnsi="仿宋" w:eastAsia="仿宋" w:cs="仿宋"/>
          <w:sz w:val="28"/>
          <w:szCs w:val="28"/>
        </w:rPr>
        <w:t>进行指导，与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sz w:val="28"/>
          <w:szCs w:val="28"/>
        </w:rPr>
        <w:t>专业教师、兼职就业创业老师、辅导员等组建指导教师团队。创新创业教研室指导老师具体分工如下：</w:t>
      </w:r>
    </w:p>
    <w:tbl>
      <w:tblPr>
        <w:tblStyle w:val="3"/>
        <w:tblpPr w:leftFromText="180" w:rightFromText="180" w:vertAnchor="text" w:horzAnchor="page" w:tblpX="2065" w:tblpY="18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65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指导老师</w:t>
            </w:r>
          </w:p>
        </w:tc>
        <w:tc>
          <w:tcPr>
            <w:tcW w:w="65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舒良荣</w:t>
            </w:r>
          </w:p>
        </w:tc>
        <w:tc>
          <w:tcPr>
            <w:tcW w:w="65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熊小杏</w:t>
            </w:r>
          </w:p>
        </w:tc>
        <w:tc>
          <w:tcPr>
            <w:tcW w:w="65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建筑工程学院、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交通工程学院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韩燕霞</w:t>
            </w:r>
          </w:p>
        </w:tc>
        <w:tc>
          <w:tcPr>
            <w:tcW w:w="65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国际教育学院、阿里巴巴大数据学院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0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董　钦</w:t>
            </w:r>
          </w:p>
        </w:tc>
        <w:tc>
          <w:tcPr>
            <w:tcW w:w="65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文化创意学院、机电工程学院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0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韩艳春</w:t>
            </w:r>
          </w:p>
        </w:tc>
        <w:tc>
          <w:tcPr>
            <w:tcW w:w="65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特殊教育学院、机器人学院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二级学院</w:t>
      </w:r>
      <w:r>
        <w:rPr>
          <w:rFonts w:hint="eastAsia" w:ascii="仿宋" w:hAnsi="仿宋" w:eastAsia="仿宋" w:cs="仿宋"/>
          <w:sz w:val="28"/>
          <w:szCs w:val="28"/>
        </w:rPr>
        <w:t>务必要认真做好大赛的宣传动员和组织领导工作，广泛动员联系符合条件的参赛对象踊跃报名参赛，做好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sz w:val="28"/>
          <w:szCs w:val="28"/>
        </w:rPr>
        <w:t>初赛组织工作，确保活动取得好的成效。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获奖选手经集训选拨后</w:t>
      </w:r>
      <w:r>
        <w:rPr>
          <w:rFonts w:hint="eastAsia" w:ascii="仿宋" w:hAnsi="仿宋" w:eastAsia="仿宋" w:cs="仿宋"/>
          <w:sz w:val="28"/>
          <w:szCs w:val="28"/>
        </w:rPr>
        <w:t>推荐参加福建省第十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 xml:space="preserve">届大学生职业生涯规划大赛。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1475" w:leftChars="305" w:hanging="835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附件：1.福州职业技术学院20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年大学生职业规划大赛参赛项目统计表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484" w:firstLineChars="53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2.福州职业技术学院大学生职业规划大赛评分标准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right="280" w:firstLine="560" w:firstLineChars="200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right="280" w:firstLine="560" w:firstLineChars="200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right="280" w:firstLine="560" w:firstLineChars="200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right="280" w:firstLine="560" w:firstLineChars="200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福州职业技术学院学生工作处  创新创业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创造</w:t>
      </w:r>
      <w:r>
        <w:rPr>
          <w:rFonts w:hint="eastAsia" w:ascii="仿宋" w:hAnsi="仿宋" w:eastAsia="仿宋" w:cs="仿宋"/>
          <w:sz w:val="28"/>
          <w:szCs w:val="28"/>
        </w:rPr>
        <w:t xml:space="preserve">教育学院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5040" w:firstLineChars="18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5040" w:firstLineChars="18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5040" w:firstLineChars="18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both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outlineLvl w:val="9"/>
        <w:rPr>
          <w:rFonts w:hint="eastAsia" w:ascii="仿宋_GB2312" w:eastAsia="仿宋_GB2312"/>
          <w:snapToGrid w:val="0"/>
          <w:kern w:val="0"/>
          <w:sz w:val="28"/>
          <w:szCs w:val="28"/>
        </w:rPr>
      </w:pPr>
      <w:r>
        <w:rPr>
          <w:rFonts w:hint="eastAsia" w:ascii="仿宋_GB2312" w:eastAsia="仿宋_GB2312"/>
          <w:snapToGrid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napToGrid w:val="0"/>
          <w:kern w:val="0"/>
          <w:sz w:val="28"/>
          <w:szCs w:val="28"/>
        </w:rPr>
        <w:t>福州职业技术学院学生工作处            20</w:t>
      </w:r>
      <w:r>
        <w:rPr>
          <w:rFonts w:hint="eastAsia" w:ascii="仿宋_GB2312" w:eastAsia="仿宋_GB2312"/>
          <w:snapToGrid w:val="0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napToGrid w:val="0"/>
          <w:kern w:val="0"/>
          <w:sz w:val="28"/>
          <w:szCs w:val="28"/>
        </w:rPr>
        <w:t>年</w:t>
      </w:r>
      <w:r>
        <w:rPr>
          <w:rFonts w:hint="eastAsia" w:ascii="仿宋_GB2312" w:eastAsia="仿宋_GB2312"/>
          <w:snapToGrid w:val="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napToGrid w:val="0"/>
          <w:kern w:val="0"/>
          <w:sz w:val="28"/>
          <w:szCs w:val="28"/>
        </w:rPr>
        <w:t>月</w:t>
      </w:r>
      <w:r>
        <w:rPr>
          <w:rFonts w:hint="eastAsia" w:ascii="仿宋_GB2312" w:eastAsia="仿宋_GB2312"/>
          <w:snapToGrid w:val="0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/>
          <w:snapToGrid w:val="0"/>
          <w:kern w:val="0"/>
          <w:sz w:val="28"/>
          <w:szCs w:val="28"/>
        </w:rPr>
        <w:t>日印发</w:t>
      </w:r>
      <w:r>
        <w:rPr>
          <w:rFonts w:hint="eastAsia" w:ascii="仿宋_GB2312" w:eastAsia="仿宋_GB2312"/>
          <w:snapToGrid w:val="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0</wp:posOffset>
                </wp:positionV>
                <wp:extent cx="5817870" cy="1016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7870" cy="1016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9pt;margin-top:0pt;height:0.8pt;width:458.1pt;z-index:251660288;mso-width-relative:page;mso-height-relative:page;" filled="f" stroked="t" coordsize="21600,21600" o:gfxdata="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2JHRl1AAAAAYBAAAPAAAA&#10;AAAAAAEAIAAAACIAAABkcnMvZG93bnJldi54bWxQSwECFAAUAAAACACHTuJAsz5y1eABAACbAwAA&#10;DgAAAAAAAAABACAAAAAjAQAAZHJzL2Uyb0RvYy54bWxQSwUGAAAAAAYABgBZAQAAdQUAAAAA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napToGrid w:val="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0</wp:posOffset>
                </wp:positionV>
                <wp:extent cx="561848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9pt;margin-top:0pt;height:0pt;width:442.4pt;z-index:251661312;mso-width-relative:page;mso-height-relative:page;" filled="f" stroked="t" coordsize="21600,21600" o:gfxdata="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o4KhP1AAAAAUBAAAPAAAAAAAAAAEA&#10;IAAAACIAAABkcnMvZG93bnJldi54bWxQSwECFAAUAAAACACHTuJAsB/jrtoBAACXAwAADgAAAAAA&#10;AAABACAAAAAjAQAAZHJzL2Uyb0RvYy54bWxQSwUGAAAAAAYABgBZAQAAb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30480</wp:posOffset>
                </wp:positionV>
                <wp:extent cx="5827395" cy="889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7395" cy="889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35pt;margin-top:2.4pt;height:0.7pt;width:458.85pt;z-index:251662336;mso-width-relative:page;mso-height-relative:page;" filled="f" stroked="t" coordsize="21600,21600" o:gfxdata="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eNyiTUAAAA&#10;BwEAAA8AAAAAAAAAAQAgAAAAIgAAAGRycy9kb3ducmV2LnhtbFBLAQIUABQAAAAIAIdO4kBCP4ir&#10;6AEAAKQDAAAOAAAAAAAAAAEAIAAAACMBAABkcnMvZTJvRG9jLnhtbFBLBQYAAAAABgAGAFkBAAB9&#10;BQAAAAA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3"/>
        <w:tblpPr w:leftFromText="180" w:rightFromText="180" w:vertAnchor="text" w:horzAnchor="page" w:tblpX="1447" w:tblpY="186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2"/>
        <w:gridCol w:w="993"/>
        <w:gridCol w:w="435"/>
        <w:gridCol w:w="273"/>
        <w:gridCol w:w="657"/>
        <w:gridCol w:w="52"/>
        <w:gridCol w:w="1028"/>
        <w:gridCol w:w="106"/>
        <w:gridCol w:w="959"/>
        <w:gridCol w:w="600"/>
        <w:gridCol w:w="345"/>
        <w:gridCol w:w="1395"/>
        <w:gridCol w:w="1237"/>
        <w:gridCol w:w="173"/>
        <w:gridCol w:w="10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附件1</w:t>
            </w: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70" w:type="dxa"/>
            <w:gridSpan w:val="1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福州职业技术学院20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年大学生职业规划大赛参赛项目统计表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学院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（盖章）：                                     时间：   年  月  日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序号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参赛题目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电子邮箱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adjustRightInd w:val="0"/>
        <w:snapToGrid w:val="0"/>
        <w:spacing w:line="52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adjustRightInd w:val="0"/>
        <w:snapToGrid w:val="0"/>
        <w:spacing w:line="52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adjustRightInd w:val="0"/>
        <w:snapToGrid w:val="0"/>
        <w:spacing w:line="52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学院</w:t>
      </w:r>
      <w:r>
        <w:rPr>
          <w:rFonts w:hint="eastAsia" w:ascii="仿宋_GB2312" w:eastAsia="仿宋_GB2312"/>
          <w:sz w:val="28"/>
          <w:szCs w:val="28"/>
        </w:rPr>
        <w:t xml:space="preserve">领导签字：  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 xml:space="preserve"> 填报人：</w:t>
      </w:r>
    </w:p>
    <w:p>
      <w:pPr>
        <w:adjustRightInd w:val="0"/>
        <w:snapToGrid w:val="0"/>
        <w:spacing w:line="52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adjustRightInd w:val="0"/>
        <w:snapToGrid w:val="0"/>
        <w:spacing w:line="52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adjustRightInd w:val="0"/>
        <w:snapToGrid w:val="0"/>
        <w:spacing w:line="52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adjustRightInd w:val="0"/>
        <w:snapToGrid w:val="0"/>
        <w:spacing w:line="52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adjustRightInd w:val="0"/>
        <w:snapToGrid w:val="0"/>
        <w:spacing w:line="52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adjustRightInd w:val="0"/>
        <w:snapToGrid w:val="0"/>
        <w:spacing w:line="52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sz w:val="32"/>
          <w:szCs w:val="32"/>
        </w:rPr>
        <w:t xml:space="preserve">附件2 </w:t>
      </w: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b/>
          <w:sz w:val="36"/>
          <w:szCs w:val="36"/>
        </w:rPr>
        <w:t>福州职业技术学院大学生职业规划大赛决赛评分标准</w:t>
      </w: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决赛第一阶段：（50%）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《个人职业生涯规划书》评审</w:t>
      </w:r>
    </w:p>
    <w:tbl>
      <w:tblPr>
        <w:tblStyle w:val="3"/>
        <w:tblW w:w="0" w:type="auto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评分要点</w:t>
            </w:r>
          </w:p>
        </w:tc>
        <w:tc>
          <w:tcPr>
            <w:tcW w:w="77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9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自我认知（15%）</w:t>
            </w:r>
          </w:p>
        </w:tc>
        <w:tc>
          <w:tcPr>
            <w:tcW w:w="7796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1．自我分析清晰、全面、深入、客观，能清楚认识到自己的优缺点。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2．将人才测评量化分析与自我深入分析综合客观地评价自我，职业兴趣、职业能力、职业价值观、个性特征分析全面、到位。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3．从个人兴趣爱好、成长经历社会实践中分析自我。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4．自我评估理论、模型应用正确、合理。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9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职业认知（20%）</w:t>
            </w:r>
          </w:p>
        </w:tc>
        <w:tc>
          <w:tcPr>
            <w:tcW w:w="7796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1．了解社会的整体就业趋势，了解当前大学生的就业状况。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2．对目标职业所处行业现状、前景及行业就业需求了解清晰。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3．熟悉目标职业的工作内容、工作环境、典型生活方式，了解目标职业的待遇、未来发展。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4．对目标职位的进入途径、胜任标准了解清晰，深入了解目标职业对生活的影响。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5．在探索过程中应用到文献检索、访谈、见习、实习等方法。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69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职业决策（20%）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1．职业目标确定和发展路径设计要符合外部环境和个人特质（兴趣、技能、特质、价值观），要符合实际、可执行、可实现。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2．对照自我认知和职业认知结果，分析自己的优劣势及面临的机会和挑战，职业目标的选择过程阐述详尽，合乎逻辑。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3．备选目标要充分根据个人与环境的评估进行分析确定，备选目标职业发展路径与首选目标发展路径要有一定相关性。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4．能够正确运用评估理论和决策模型做出决策。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9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计划与路径（15%）</w:t>
            </w:r>
          </w:p>
        </w:tc>
        <w:tc>
          <w:tcPr>
            <w:tcW w:w="7796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1．行动计划对保持个人优势、加强个人不足、全面提升个人竞争力有针对性、可操作性。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2．近期计划详尽清晰、可操作性强，中期计划清晰并具有灵活性，长期计划具有方向性。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3．职业发展路径充分考虑进入途径、胜任标准等探索结果，符合逻辑和现实，具有可操作性和竞争力。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9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自我监控（15%）</w:t>
            </w:r>
          </w:p>
        </w:tc>
        <w:tc>
          <w:tcPr>
            <w:tcW w:w="7796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1．对行动计划和职业目标设定评估方案，如要达到什么标准，评估的要素是什么。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2．能够对行动计划实施过程和风险做出评估，并制定切实可行的调整方案。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3．调整方案的制定充分根据个人与环境的评估进行分析确定，充分考虑首选目标与备选目标间的联系和差异，具有可操作性。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9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作品撰写（15%）</w:t>
            </w:r>
          </w:p>
        </w:tc>
        <w:tc>
          <w:tcPr>
            <w:tcW w:w="7796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1．作品内容完整，对自我和外部环境分析全面，提出自己的职业目标、发展路径和行动计划。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2．报告思路清晰、逻辑合理，能准确把握职业规划设计的核心与关键。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3．报告格式清晰，文字流畅。</w:t>
            </w:r>
          </w:p>
        </w:tc>
      </w:tr>
    </w:tbl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决赛第二阶段：   现场自我展示及答辩（50%）</w:t>
      </w:r>
    </w:p>
    <w:tbl>
      <w:tblPr>
        <w:tblStyle w:val="3"/>
        <w:tblW w:w="0" w:type="auto"/>
        <w:tblInd w:w="-3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622"/>
        <w:gridCol w:w="61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评分要素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评分要点</w:t>
            </w:r>
          </w:p>
        </w:tc>
        <w:tc>
          <w:tcPr>
            <w:tcW w:w="6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具体描述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PPT展示（70%）</w:t>
            </w:r>
          </w:p>
        </w:tc>
        <w:tc>
          <w:tcPr>
            <w:tcW w:w="16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作品陈述（15%）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1．内容完整，对自我和外部环境分析全面，提出自己的职业目标、发展路径和行动计划。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2．思路清晰、逻辑合理，能准确把握职业规划设计的核心与关键。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整体逻辑（15%）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展示内容前后逻辑紧密，环节紧凑，设计合理。答辩内容与展示内容具有整体一致性，条理清晰，结论明确。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时间把控（10%）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在规定时间内完成陈述回答评委提问，无拖延时间行为。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PPT内容（15%）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PPT设计简洁大方，重点突出，简明扼要，能够精确提炼职业规划项目要点。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语言表达（15%）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语言运用准确、简洁、流畅而富有逻辑的严密性。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表达具有说服力和感染力。语速适中，重点突出。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现场答辩（30%）</w:t>
            </w:r>
          </w:p>
        </w:tc>
        <w:tc>
          <w:tcPr>
            <w:tcW w:w="16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回答内容（15%）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回答内容准确、精炼，重点突出、切合题意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回答内容真实可信，运用事实论据，论述有说服力。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答题过程条理清晰，层次分明，结论明确。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回答能力（15%）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能正确理解评委提问，作出有针对性的回答。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应变能力强，能够灵活的、创造性的作答。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答题过程流畅、无明显停顿。</w:t>
            </w:r>
          </w:p>
        </w:tc>
      </w:tr>
    </w:tbl>
    <w:p/>
    <w:sectPr>
      <w:pgSz w:w="11906" w:h="16838"/>
      <w:pgMar w:top="1440" w:right="1633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D023F"/>
    <w:rsid w:val="00EB396E"/>
    <w:rsid w:val="03DE517A"/>
    <w:rsid w:val="048D023F"/>
    <w:rsid w:val="0B9F3CCD"/>
    <w:rsid w:val="0EB24482"/>
    <w:rsid w:val="226C0D19"/>
    <w:rsid w:val="30B9733C"/>
    <w:rsid w:val="35846310"/>
    <w:rsid w:val="3AED3D86"/>
    <w:rsid w:val="5D88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2020-08-26T03:42:00Z</dcterms:created>
  <dc:creator>兰花草</dc:creator>
  <cp:lastModifiedBy>zizi</cp:lastModifiedBy>
  <cp:lastPrinted>2020-09-23T03:10:51Z</cp:lastPrinted>
  <dcterms:modified xsi:type="dcterms:W3CDTF">2020-09-23T03:25:00Z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