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tLeast" w:line="300" w:before="100" w:beforeAutospacing="1" w:afterAutospacing="1" w:after="100"/>
        <w:rPr>
          <w:b w:val="1"/>
          <w:color w:val="000000" w:themeColor="text1"/>
          <w:sz w:val="56"/>
          <w:szCs w:val="56"/>
          <w:rFonts w:asciiTheme="majorEastAsia" w:eastAsiaTheme="majorEastAsia" w:hAnsiTheme="majorEastAsia" w:cstheme="majorEastAsia"/>
        </w:rPr>
        <w:outlineLvl w:val="1"/>
        <w:snapToGrid w:val="on"/>
      </w:pPr>
    </w:p>
    <w:p>
      <w:pPr>
        <w:jc w:val="center"/>
        <w:spacing w:lineRule="atLeast" w:line="240" w:after="0"/>
        <w:rPr>
          <w:b w:val="1"/>
          <w:color w:val="000000" w:themeColor="text1"/>
          <w:sz w:val="36"/>
          <w:szCs w:val="36"/>
          <w:rFonts w:ascii="黑体" w:eastAsia="黑体" w:hAnsi="黑体" w:cstheme="majorEastAsia" w:hint="eastAsia"/>
        </w:rPr>
        <w:outlineLvl w:val="1"/>
        <w:snapToGrid w:val="on"/>
      </w:pPr>
      <w:r>
        <w:rPr>
          <w:b w:val="1"/>
          <w:color w:val="000000" w:themeColor="text1"/>
          <w:sz w:val="36"/>
          <w:szCs w:val="36"/>
          <w:rFonts w:ascii="黑体" w:eastAsia="黑体" w:hAnsi="黑体" w:cstheme="majorEastAsia" w:hint="eastAsia"/>
        </w:rPr>
        <w:t>福州职业技术学院2021年</w:t>
      </w:r>
    </w:p>
    <w:p>
      <w:pPr>
        <w:jc w:val="center"/>
        <w:spacing w:lineRule="atLeast" w:line="240" w:after="0"/>
        <w:rPr>
          <w:b w:val="1"/>
          <w:color w:val="000000" w:themeColor="text1"/>
          <w:sz w:val="36"/>
          <w:szCs w:val="36"/>
          <w:rFonts w:ascii="黑体" w:eastAsia="黑体" w:hAnsi="黑体" w:cstheme="majorEastAsia"/>
        </w:rPr>
        <w:outlineLvl w:val="1"/>
        <w:snapToGrid w:val="on"/>
      </w:pPr>
      <w:r>
        <w:rPr>
          <w:b w:val="1"/>
          <w:color w:val="000000" w:themeColor="text1"/>
          <w:sz w:val="36"/>
          <w:szCs w:val="36"/>
          <w:rFonts w:ascii="黑体" w:eastAsia="黑体" w:hAnsi="黑体" w:cstheme="majorEastAsia" w:hint="eastAsia"/>
        </w:rPr>
        <w:t>防校园贷、防诈骗、防非法集资安全宣传活动</w:t>
      </w:r>
      <w:r>
        <w:rPr>
          <w:b w:val="1"/>
          <w:color w:val="000000" w:themeColor="text1"/>
          <w:sz w:val="36"/>
          <w:szCs w:val="36"/>
          <w:rFonts w:ascii="黑体" w:eastAsia="黑体" w:hAnsi="黑体" w:cs="黑体" w:hint="eastAsia"/>
        </w:rPr>
        <w:t>方案</w:t>
      </w:r>
    </w:p>
    <w:p>
      <w:pPr>
        <w:rPr>
          <w:b w:val="1"/>
          <w:sz w:val="36"/>
          <w:szCs w:val="36"/>
        </w:rPr>
      </w:pPr>
    </w:p>
    <w:p>
      <w:pPr>
        <w:spacing w:lineRule="exact" w:line="520" w:after="0"/>
        <w:ind w:firstLine="600"/>
        <w:rPr>
          <w:b w:val="1"/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如今，不良网贷、传销、诈骗团伙“黑手”频频伸向在校大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学生，由于在校学生社会接触面不广，思想比较单纯，缺乏识别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陷阱的能力，而很多人又具有积累社会经验的渴望，这些组织往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往迎合他们的这种心理，使得在校大学生深陷不法深渊中。为了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抵制这种现象的出现，福州职业技术学院学院以科学发展观的重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要思想为指导，以安全法律法规为准绳，以保障全院师生人身财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产安全和学生的健康成长为目标。特将2021年我校防范不良校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园贷、防范传销、防诈骗、防非法集资陷阱主题教育活动方案制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定如下:</w:t>
      </w:r>
    </w:p>
    <w:p>
      <w:pPr>
        <w:spacing w:lineRule="exact" w:line="520" w:after="0"/>
        <w:ind w:left="560" w:firstLine="0"/>
        <w:rPr>
          <w:b w:val="1"/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一、</w:t>
      </w:r>
      <w:r>
        <w:rPr>
          <w:b w:val="1"/>
          <w:color w:val="000000" w:themeColor="text1"/>
          <w:sz w:val="30"/>
          <w:szCs w:val="30"/>
          <w:rFonts w:ascii="仿宋" w:eastAsia="仿宋" w:hAnsi="仿宋" w:cstheme="minorEastAsia" w:hint="eastAsia"/>
        </w:rPr>
        <w:t xml:space="preserve"> 活动主题</w:t>
      </w:r>
    </w:p>
    <w:p>
      <w:pPr>
        <w:spacing w:lineRule="exact" w:line="520" w:after="0"/>
        <w:ind w:firstLine="600"/>
        <w:rPr>
          <w:b w:val="1"/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“</w:t>
      </w:r>
      <w:r>
        <w:rPr>
          <w:color w:val="333333"/>
          <w:sz w:val="30"/>
          <w:szCs w:val="30"/>
          <w:rFonts w:ascii="仿宋" w:eastAsia="仿宋" w:hAnsi="仿宋" w:cs="Arial" w:hint="eastAsia"/>
        </w:rPr>
        <w:t>防范电信诈骗和非法集资诈骗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”</w:t>
      </w:r>
    </w:p>
    <w:p>
      <w:pPr>
        <w:spacing w:lineRule="exact" w:line="520" w:after="0"/>
        <w:ind w:left="602" w:firstLine="0"/>
        <w:rPr>
          <w:b w:val="1"/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b w:val="1"/>
          <w:color w:val="000000" w:themeColor="text1"/>
          <w:sz w:val="30"/>
          <w:szCs w:val="30"/>
          <w:rFonts w:ascii="仿宋" w:eastAsia="仿宋" w:hAnsi="仿宋" w:cstheme="minorEastAsia" w:hint="eastAsia"/>
        </w:rPr>
        <w:t>二、活动时间</w:t>
      </w:r>
    </w:p>
    <w:p>
      <w:pPr>
        <w:spacing w:lineRule="exact" w:line="520" w:after="0"/>
        <w:ind w:firstLine="600"/>
        <w:rPr>
          <w:color w:val="000000" w:themeColor="text1"/>
          <w:sz w:val="30"/>
          <w:szCs w:val="30"/>
          <w:rFonts w:ascii="仿宋" w:eastAsia="仿宋" w:hAnsi="仿宋" w:cstheme="minorEastAsia"/>
        </w:rPr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2021年3月1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6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日-2021年4月3日</w:t>
      </w:r>
    </w:p>
    <w:p>
      <w:pPr>
        <w:pStyle w:val="PO26"/>
        <w:numPr>
          <w:ilvl w:val="0"/>
          <w:numId w:val="4"/>
        </w:numPr>
        <w:spacing w:lineRule="exact" w:line="520" w:after="0"/>
        <w:rPr>
          <w:b w:val="1"/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b w:val="1"/>
          <w:color w:val="000000" w:themeColor="text1"/>
          <w:sz w:val="30"/>
          <w:szCs w:val="30"/>
          <w:rFonts w:ascii="仿宋" w:eastAsia="仿宋" w:hAnsi="仿宋" w:cstheme="minorEastAsia" w:hint="eastAsia"/>
        </w:rPr>
        <w:t>活动地点</w:t>
      </w:r>
    </w:p>
    <w:p>
      <w:pPr>
        <w:spacing w:lineRule="exact" w:line="520" w:after="0"/>
        <w:ind w:firstLine="600"/>
        <w:rPr>
          <w:color w:val="000000" w:themeColor="text1"/>
          <w:sz w:val="30"/>
          <w:szCs w:val="30"/>
          <w:rFonts w:ascii="仿宋" w:eastAsia="仿宋" w:hAnsi="仿宋" w:cstheme="minorEastAsia"/>
        </w:rPr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福州职业技术学院综合行政楼、教学楼</w:t>
      </w:r>
    </w:p>
    <w:p>
      <w:pPr>
        <w:pStyle w:val="PO26"/>
        <w:numPr>
          <w:ilvl w:val="0"/>
          <w:numId w:val="4"/>
        </w:numPr>
        <w:spacing w:lineRule="exact" w:line="520" w:after="0"/>
        <w:rPr>
          <w:b w:val="1"/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b w:val="1"/>
          <w:color w:val="000000" w:themeColor="text1"/>
          <w:sz w:val="30"/>
          <w:szCs w:val="30"/>
          <w:rFonts w:ascii="仿宋" w:eastAsia="仿宋" w:hAnsi="仿宋" w:cstheme="minorEastAsia" w:hint="eastAsia"/>
        </w:rPr>
        <w:t>活动前期准备</w:t>
      </w:r>
    </w:p>
    <w:p>
      <w:pPr>
        <w:spacing w:lineRule="exact" w:line="520" w:after="0"/>
        <w:ind w:firstLine="600"/>
        <w:rPr>
          <w:b w:val="1"/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搜集不良网贷、传销陷阱、防范电信诈骗和非法集资诈骗等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相关知识、图片</w:t>
      </w:r>
      <w:r>
        <w:rPr>
          <w:b w:val="1"/>
          <w:color w:val="000000" w:themeColor="text1"/>
          <w:sz w:val="30"/>
          <w:szCs w:val="30"/>
          <w:rFonts w:ascii="仿宋" w:eastAsia="仿宋" w:hAnsi="仿宋" w:cstheme="minorEastAsia" w:hint="eastAsia"/>
        </w:rPr>
        <w:t>，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制作不良网贷、传销陷阱主题展板</w:t>
      </w:r>
    </w:p>
    <w:p>
      <w:pPr>
        <w:numPr>
          <w:ilvl w:val="0"/>
          <w:numId w:val="4"/>
        </w:numPr>
        <w:spacing w:lineRule="exact" w:line="520" w:after="0"/>
        <w:ind w:left="0" w:firstLine="602"/>
        <w:rPr>
          <w:b w:val="1"/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b w:val="1"/>
          <w:color w:val="000000" w:themeColor="text1"/>
          <w:sz w:val="30"/>
          <w:szCs w:val="30"/>
          <w:rFonts w:ascii="仿宋" w:eastAsia="仿宋" w:hAnsi="仿宋" w:cstheme="minorEastAsia" w:hint="eastAsia"/>
        </w:rPr>
        <w:t>活动内容</w:t>
      </w:r>
    </w:p>
    <w:p>
      <w:pPr>
        <w:spacing w:lineRule="exact" w:line="520" w:after="0"/>
        <w:ind w:firstLine="600"/>
        <w:rPr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1、在综合楼、教学楼附近开展防诈骗、防传销宣传图片展；</w:t>
      </w:r>
    </w:p>
    <w:p>
      <w:pPr>
        <w:spacing w:lineRule="exact" w:line="520" w:after="0"/>
        <w:ind w:firstLine="600"/>
        <w:rPr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2、制作防传销，防校园贷、防诈骗的宣传拱门；</w:t>
      </w:r>
    </w:p>
    <w:p>
      <w:pPr>
        <w:spacing w:lineRule="exact" w:line="520" w:after="0"/>
        <w:ind w:firstLine="600"/>
        <w:rPr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3、各二级学院通过微信，qq群，网课等平台向学生推送防校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园贷、防传销、防诈骗安全知识；</w:t>
      </w:r>
    </w:p>
    <w:p>
      <w:pPr>
        <w:spacing w:lineRule="exact" w:line="520" w:after="0"/>
        <w:ind w:firstLine="600"/>
        <w:rPr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4、在安全教研室qq群里转发防校园贷，防传销、防范电信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诈骗的宣传图片，教育视频。</w:t>
      </w:r>
    </w:p>
    <w:p>
      <w:pPr>
        <w:spacing w:lineRule="exact" w:line="520" w:after="0"/>
        <w:ind w:firstLine="600"/>
        <w:rPr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通过这四种活动内容，让同学们对防范不良网贷，防范传销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陷阱知识有了更深的印象，在日常的生活中也不忘保障自我的人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身安全，进一步强化我院安全教育工作，增加全院师生的防范意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识，减少不法侵害发生，进一步维护广大青少年的切身利益，为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广大师生们创建一个安全的校园。</w:t>
      </w:r>
    </w:p>
    <w:p>
      <w:pPr>
        <w:spacing w:lineRule="exact" w:line="520" w:after="0"/>
        <w:ind w:firstLine="602"/>
        <w:rPr>
          <w:b w:val="1"/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b w:val="1"/>
          <w:color w:val="000000" w:themeColor="text1"/>
          <w:sz w:val="30"/>
          <w:szCs w:val="30"/>
          <w:rFonts w:ascii="仿宋" w:eastAsia="仿宋" w:hAnsi="仿宋" w:cstheme="minorEastAsia" w:hint="eastAsia"/>
        </w:rPr>
        <w:t>六、活动要求</w:t>
      </w:r>
    </w:p>
    <w:p>
      <w:pPr>
        <w:spacing w:lineRule="exact" w:line="520" w:after="0"/>
        <w:ind w:firstLine="450"/>
        <w:rPr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（一)加强领导，明确责任。各二级学院级要按照本方案的要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求，切实加强安全宣传教育。有计划、有组织地开防范不良网贷，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防范传销陷阱教育活动，商学院全体教师密切配合，努力将活动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落到实处。</w:t>
      </w:r>
    </w:p>
    <w:p>
      <w:pPr>
        <w:spacing w:lineRule="exact" w:line="520" w:after="0"/>
        <w:ind w:firstLine="450"/>
        <w:rPr>
          <w:color w:val="333333"/>
          <w:sz w:val="30"/>
          <w:szCs w:val="30"/>
          <w:rFonts w:ascii="仿宋" w:eastAsia="仿宋" w:hAnsi="仿宋" w:cs="微软雅黑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（二)精心组织，确保效果。通过宣传教育，增强防范意识，将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我院安全宣传教育工作真正落到实处，共建安全校园、和谐校园。</w:t>
      </w:r>
    </w:p>
    <w:p>
      <w:pPr>
        <w:spacing w:lineRule="exact" w:line="520" w:after="0"/>
        <w:ind w:firstLine="450"/>
        <w:rPr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（三）总结经验，建立长效机制。汇总各二级学院情况认真总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结，收取经验和取得的成效。</w:t>
      </w:r>
    </w:p>
    <w:p>
      <w:pPr>
        <w:jc w:val="center"/>
        <w:spacing w:lineRule="exact" w:line="520" w:after="0"/>
        <w:ind w:right="740" w:firstLine="0"/>
        <w:rPr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</w:p>
    <w:p>
      <w:pPr>
        <w:jc w:val="center"/>
        <w:spacing w:lineRule="exact" w:line="520" w:after="0"/>
        <w:ind w:right="740" w:firstLine="0"/>
        <w:rPr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</w:p>
    <w:p>
      <w:pPr>
        <w:jc w:val="center"/>
        <w:spacing w:lineRule="exact" w:line="520" w:after="0"/>
        <w:ind w:right="740" w:firstLine="0"/>
        <w:rPr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</w:p>
    <w:p>
      <w:pPr>
        <w:jc w:val="center"/>
        <w:spacing w:lineRule="exact" w:line="520" w:after="0"/>
        <w:ind w:right="740" w:firstLine="0"/>
        <w:rPr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</w:p>
    <w:p>
      <w:pPr>
        <w:jc w:val="center"/>
        <w:spacing w:lineRule="exact" w:line="520" w:after="0"/>
        <w:ind w:right="560" w:firstLine="0"/>
        <w:rPr>
          <w:color w:val="000000" w:themeColor="text1"/>
          <w:sz w:val="30"/>
          <w:szCs w:val="30"/>
          <w:rFonts w:ascii="仿宋" w:eastAsia="仿宋" w:hAnsi="仿宋" w:cstheme="minorEastAsia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 xml:space="preserve">                             福州职业技术学院保卫处</w:t>
      </w:r>
    </w:p>
    <w:p>
      <w:pPr>
        <w:jc w:val="center"/>
        <w:spacing w:lineRule="exact" w:line="520" w:after="0"/>
        <w:ind w:right="560" w:firstLine="0"/>
        <w:rPr>
          <w:sz w:val="30"/>
          <w:szCs w:val="30"/>
          <w:rFonts w:ascii="仿宋" w:eastAsia="仿宋" w:hAnsi="仿宋"/>
        </w:rPr>
        <w:outlineLvl w:val="1"/>
      </w:pP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 xml:space="preserve">                              2021年3月1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5</w:t>
      </w:r>
      <w:r>
        <w:rPr>
          <w:color w:val="000000" w:themeColor="text1"/>
          <w:sz w:val="30"/>
          <w:szCs w:val="30"/>
          <w:rFonts w:ascii="仿宋" w:eastAsia="仿宋" w:hAnsi="仿宋" w:cstheme="minorEastAsia" w:hint="eastAsia"/>
        </w:rPr>
        <w:t>日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2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2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2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2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chineseCounting"/>
      <w:start w:val="1"/>
      <w:suff w:val="nothing"/>
      <w:rPr>
        <w:rFonts w:hint="eastAsia"/>
      </w:rPr>
      <w:lvlText w:val="%1、"/>
    </w:lvl>
    <w:lvl w:ilvl="1">
      <w:lvlJc w:val="left"/>
      <w:numFmt w:val="chineseCounting"/>
      <w:start w:val="1"/>
      <w:suff w:val="nothing"/>
      <w:rPr>
        <w:rFonts w:hint="eastAsia"/>
      </w:rPr>
      <w:lvlText w:val="%1、"/>
    </w:lvl>
    <w:lvl w:ilvl="2">
      <w:lvlJc w:val="left"/>
      <w:numFmt w:val="chineseCounting"/>
      <w:start w:val="1"/>
      <w:suff w:val="nothing"/>
      <w:rPr>
        <w:rFonts w:hint="eastAsia"/>
      </w:rPr>
      <w:lvlText w:val="%1、"/>
    </w:lvl>
    <w:lvl w:ilvl="3">
      <w:lvlJc w:val="left"/>
      <w:numFmt w:val="chineseCounting"/>
      <w:start w:val="1"/>
      <w:suff w:val="nothing"/>
      <w:rPr>
        <w:rFonts w:hint="eastAsia"/>
      </w:rPr>
      <w:lvlText w:val="%1、"/>
    </w:lvl>
    <w:lvl w:ilvl="4">
      <w:lvlJc w:val="left"/>
      <w:numFmt w:val="chineseCounting"/>
      <w:start w:val="1"/>
      <w:suff w:val="nothing"/>
      <w:rPr>
        <w:rFonts w:hint="eastAsia"/>
      </w:rPr>
      <w:lvlText w:val="%1、"/>
    </w:lvl>
    <w:lvl w:ilvl="5">
      <w:lvlJc w:val="left"/>
      <w:numFmt w:val="chineseCounting"/>
      <w:start w:val="1"/>
      <w:suff w:val="nothing"/>
      <w:rPr>
        <w:rFonts w:hint="eastAsia"/>
      </w:rPr>
      <w:lvlText w:val="%1、"/>
    </w:lvl>
    <w:lvl w:ilvl="6">
      <w:lvlJc w:val="left"/>
      <w:numFmt w:val="chineseCounting"/>
      <w:start w:val="1"/>
      <w:suff w:val="nothing"/>
      <w:rPr>
        <w:rFonts w:hint="eastAsia"/>
      </w:rPr>
      <w:lvlText w:val="%1、"/>
    </w:lvl>
    <w:lvl w:ilvl="7">
      <w:lvlJc w:val="left"/>
      <w:numFmt w:val="chineseCounting"/>
      <w:start w:val="1"/>
      <w:suff w:val="nothing"/>
      <w:rPr>
        <w:rFonts w:hint="eastAsia"/>
      </w:rPr>
      <w:lvlText w:val="%1、"/>
    </w:lvl>
    <w:lvl w:ilvl="8">
      <w:lvlJc w:val="left"/>
      <w:numFmt w:val="chineseCounting"/>
      <w:start w:val="1"/>
      <w:suff w:val="nothing"/>
      <w:rPr>
        <w:rFonts w:hint="eastAsia"/>
      </w:rPr>
      <w:lvlText w:val="%1、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nothing"/>
      <w:rPr>
        <w:rFonts w:asciiTheme="minorEastAsia" w:eastAsiaTheme="minorEastAsia" w:hAnsiTheme="minorEastAsia" w:cstheme="minorEastAsia"/>
      </w:rPr>
      <w:lvlText w:val="%1、"/>
    </w:lvl>
    <w:lvl w:ilvl="1">
      <w:lvlJc w:val="left"/>
      <w:numFmt w:val="decimal"/>
      <w:start w:val="1"/>
      <w:suff w:val="nothing"/>
      <w:rPr>
        <w:rFonts w:asciiTheme="minorEastAsia" w:eastAsiaTheme="minorEastAsia" w:hAnsiTheme="minorEastAsia" w:cstheme="minorEastAsia"/>
      </w:rPr>
      <w:lvlText w:val="%1、"/>
    </w:lvl>
    <w:lvl w:ilvl="2">
      <w:lvlJc w:val="left"/>
      <w:numFmt w:val="decimal"/>
      <w:start w:val="1"/>
      <w:suff w:val="nothing"/>
      <w:rPr>
        <w:rFonts w:asciiTheme="minorEastAsia" w:eastAsiaTheme="minorEastAsia" w:hAnsiTheme="minorEastAsia" w:cstheme="minorEastAsia"/>
      </w:rPr>
      <w:lvlText w:val="%1、"/>
    </w:lvl>
    <w:lvl w:ilvl="3">
      <w:lvlJc w:val="left"/>
      <w:numFmt w:val="decimal"/>
      <w:start w:val="1"/>
      <w:suff w:val="nothing"/>
      <w:rPr>
        <w:rFonts w:asciiTheme="minorEastAsia" w:eastAsiaTheme="minorEastAsia" w:hAnsiTheme="minorEastAsia" w:cstheme="minorEastAsia"/>
      </w:rPr>
      <w:lvlText w:val="%1、"/>
    </w:lvl>
    <w:lvl w:ilvl="4">
      <w:lvlJc w:val="left"/>
      <w:numFmt w:val="decimal"/>
      <w:start w:val="1"/>
      <w:suff w:val="nothing"/>
      <w:rPr>
        <w:rFonts w:asciiTheme="minorEastAsia" w:eastAsiaTheme="minorEastAsia" w:hAnsiTheme="minorEastAsia" w:cstheme="minorEastAsia"/>
      </w:rPr>
      <w:lvlText w:val="%1、"/>
    </w:lvl>
    <w:lvl w:ilvl="5">
      <w:lvlJc w:val="left"/>
      <w:numFmt w:val="decimal"/>
      <w:start w:val="1"/>
      <w:suff w:val="nothing"/>
      <w:rPr>
        <w:rFonts w:asciiTheme="minorEastAsia" w:eastAsiaTheme="minorEastAsia" w:hAnsiTheme="minorEastAsia" w:cstheme="minorEastAsia"/>
      </w:rPr>
      <w:lvlText w:val="%1、"/>
    </w:lvl>
    <w:lvl w:ilvl="6">
      <w:lvlJc w:val="left"/>
      <w:numFmt w:val="decimal"/>
      <w:start w:val="1"/>
      <w:suff w:val="nothing"/>
      <w:rPr>
        <w:rFonts w:asciiTheme="minorEastAsia" w:eastAsiaTheme="minorEastAsia" w:hAnsiTheme="minorEastAsia" w:cstheme="minorEastAsia"/>
      </w:rPr>
      <w:lvlText w:val="%1、"/>
    </w:lvl>
    <w:lvl w:ilvl="7">
      <w:lvlJc w:val="left"/>
      <w:numFmt w:val="decimal"/>
      <w:start w:val="1"/>
      <w:suff w:val="nothing"/>
      <w:rPr>
        <w:rFonts w:asciiTheme="minorEastAsia" w:eastAsiaTheme="minorEastAsia" w:hAnsiTheme="minorEastAsia" w:cstheme="minorEastAsia"/>
      </w:rPr>
      <w:lvlText w:val="%1、"/>
    </w:lvl>
    <w:lvl w:ilvl="8">
      <w:lvlJc w:val="left"/>
      <w:numFmt w:val="decimal"/>
      <w:start w:val="1"/>
      <w:suff w:val="nothing"/>
      <w:rPr>
        <w:rFonts w:asciiTheme="minorEastAsia" w:eastAsiaTheme="minorEastAsia" w:hAnsiTheme="minorEastAsia" w:cstheme="minorEastAsia"/>
      </w:rPr>
      <w:lvlText w:val="%1、"/>
    </w:lvl>
  </w:abstractNum>
  <w:abstractNum w:abstractNumId="2">
    <w:multiLevelType w:val="hybridMultilevel"/>
    <w:nsid w:val="2F000002"/>
    <w:tmpl w:val="1F000C5F"/>
    <w:lvl w:ilvl="0">
      <w:lvlJc w:val="left"/>
      <w:numFmt w:val="japaneseCounting"/>
      <w:start w:val="3"/>
      <w:suff w:val="tab"/>
      <w:pPr>
        <w:ind w:left="1322" w:hanging="720"/>
        <w:rPr/>
      </w:pPr>
      <w:rPr>
        <w:rFonts w:hint="default"/>
      </w:rPr>
      <w:lvlText w:val="%1、"/>
    </w:lvl>
    <w:lvl w:ilvl="1">
      <w:lvlJc w:val="left"/>
      <w:numFmt w:val="lowerLetter"/>
      <w:start w:val="1"/>
      <w:suff w:val="tab"/>
      <w:pPr>
        <w:ind w:left="1442" w:hanging="420"/>
        <w:rPr/>
      </w:pPr>
      <w:rPr/>
      <w:lvlText w:val="%2)"/>
    </w:lvl>
    <w:lvl w:ilvl="2">
      <w:lvlJc w:val="right"/>
      <w:numFmt w:val="lowerRoman"/>
      <w:start w:val="1"/>
      <w:suff w:val="tab"/>
      <w:pPr>
        <w:ind w:left="1862" w:hanging="420"/>
        <w:rPr/>
      </w:pPr>
      <w:rPr/>
      <w:lvlText w:val="%3."/>
    </w:lvl>
    <w:lvl w:ilvl="3">
      <w:lvlJc w:val="left"/>
      <w:numFmt w:val="decimal"/>
      <w:start w:val="1"/>
      <w:suff w:val="tab"/>
      <w:pPr>
        <w:ind w:left="2282" w:hanging="420"/>
        <w:rPr/>
      </w:pPr>
      <w:rPr/>
      <w:lvlText w:val="%4."/>
    </w:lvl>
    <w:lvl w:ilvl="4">
      <w:lvlJc w:val="left"/>
      <w:numFmt w:val="lowerLetter"/>
      <w:start w:val="1"/>
      <w:suff w:val="tab"/>
      <w:pPr>
        <w:ind w:left="2702" w:hanging="420"/>
        <w:rPr/>
      </w:pPr>
      <w:rPr/>
      <w:lvlText w:val="%5)"/>
    </w:lvl>
    <w:lvl w:ilvl="5">
      <w:lvlJc w:val="right"/>
      <w:numFmt w:val="lowerRoman"/>
      <w:start w:val="1"/>
      <w:suff w:val="tab"/>
      <w:pPr>
        <w:ind w:left="3122" w:hanging="420"/>
        <w:rPr/>
      </w:pPr>
      <w:rPr/>
      <w:lvlText w:val="%6."/>
    </w:lvl>
    <w:lvl w:ilvl="6">
      <w:lvlJc w:val="left"/>
      <w:numFmt w:val="decimal"/>
      <w:start w:val="1"/>
      <w:suff w:val="tab"/>
      <w:pPr>
        <w:ind w:left="3542" w:hanging="420"/>
        <w:rPr/>
      </w:pPr>
      <w:rPr/>
      <w:lvlText w:val="%7."/>
    </w:lvl>
    <w:lvl w:ilvl="7">
      <w:lvlJc w:val="left"/>
      <w:numFmt w:val="lowerLetter"/>
      <w:start w:val="1"/>
      <w:suff w:val="tab"/>
      <w:pPr>
        <w:ind w:left="3962" w:hanging="420"/>
        <w:rPr/>
      </w:pPr>
      <w:rPr/>
      <w:lvlText w:val="%8)"/>
    </w:lvl>
    <w:lvl w:ilvl="8">
      <w:lvlJc w:val="right"/>
      <w:numFmt w:val="lowerRoman"/>
      <w:start w:val="1"/>
      <w:suff w:val="tab"/>
      <w:pPr>
        <w:ind w:left="4382" w:hanging="420"/>
        <w:rPr/>
      </w:pPr>
      <w:rPr/>
      <w:lvlText w:val="%9."/>
    </w:lvl>
  </w:abstractNum>
  <w:abstractNum w:abstractNumId="3">
    <w:multiLevelType w:val="hybridMultilevel"/>
    <w:nsid w:val="2F000003"/>
    <w:tmpl w:val="1F0033C2"/>
    <w:lvl w:ilvl="0">
      <w:lvlJc w:val="left"/>
      <w:numFmt w:val="chineseCounting"/>
      <w:start w:val="1"/>
      <w:suff w:val="nothing"/>
      <w:rPr>
        <w:rFonts w:hint="eastAsia"/>
      </w:rPr>
      <w:lvlText w:val="（%1）"/>
    </w:lvl>
    <w:lvl w:ilvl="1">
      <w:lvlJc w:val="left"/>
      <w:numFmt w:val="chineseCounting"/>
      <w:start w:val="1"/>
      <w:suff w:val="nothing"/>
      <w:rPr>
        <w:rFonts w:hint="eastAsia"/>
      </w:rPr>
      <w:lvlText w:val="（%1）"/>
    </w:lvl>
    <w:lvl w:ilvl="2">
      <w:lvlJc w:val="left"/>
      <w:numFmt w:val="chineseCounting"/>
      <w:start w:val="1"/>
      <w:suff w:val="nothing"/>
      <w:rPr>
        <w:rFonts w:hint="eastAsia"/>
      </w:rPr>
      <w:lvlText w:val="（%1）"/>
    </w:lvl>
    <w:lvl w:ilvl="3">
      <w:lvlJc w:val="left"/>
      <w:numFmt w:val="chineseCounting"/>
      <w:start w:val="1"/>
      <w:suff w:val="nothing"/>
      <w:rPr>
        <w:rFonts w:hint="eastAsia"/>
      </w:rPr>
      <w:lvlText w:val="（%1）"/>
    </w:lvl>
    <w:lvl w:ilvl="4">
      <w:lvlJc w:val="left"/>
      <w:numFmt w:val="chineseCounting"/>
      <w:start w:val="1"/>
      <w:suff w:val="nothing"/>
      <w:rPr>
        <w:rFonts w:hint="eastAsia"/>
      </w:rPr>
      <w:lvlText w:val="（%1）"/>
    </w:lvl>
    <w:lvl w:ilvl="5">
      <w:lvlJc w:val="left"/>
      <w:numFmt w:val="chineseCounting"/>
      <w:start w:val="1"/>
      <w:suff w:val="nothing"/>
      <w:rPr>
        <w:rFonts w:hint="eastAsia"/>
      </w:rPr>
      <w:lvlText w:val="（%1）"/>
    </w:lvl>
    <w:lvl w:ilvl="6">
      <w:lvlJc w:val="left"/>
      <w:numFmt w:val="chineseCounting"/>
      <w:start w:val="1"/>
      <w:suff w:val="nothing"/>
      <w:rPr>
        <w:rFonts w:hint="eastAsia"/>
      </w:rPr>
      <w:lvlText w:val="（%1）"/>
    </w:lvl>
    <w:lvl w:ilvl="7">
      <w:lvlJc w:val="left"/>
      <w:numFmt w:val="chineseCounting"/>
      <w:start w:val="1"/>
      <w:suff w:val="nothing"/>
      <w:rPr>
        <w:rFonts w:hint="eastAsia"/>
      </w:rPr>
      <w:lvlText w:val="（%1）"/>
    </w:lvl>
    <w:lvl w:ilvl="8">
      <w:lvlJc w:val="left"/>
      <w:numFmt w:val="chineseCounting"/>
      <w:start w:val="1"/>
      <w:suff w:val="nothing"/>
      <w:rPr>
        <w:rFonts w:hint="eastAsia"/>
      </w:rPr>
      <w:lvlText w:val="（%1）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="Times New Roman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spacing w:after="200"/>
      <w:rPr/>
      <w:snapToGrid w:val="off"/>
    </w:pPr>
    <w:rPr>
      <w:sz w:val="22"/>
      <w:szCs w:val="22"/>
      <w:rFonts w:ascii="Tahoma" w:eastAsia="微软雅黑" w:hAnsi="Tahoma" w:cstheme="minorBidi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uiPriority w:val="26"/>
    <w:unhideWhenUsed/>
    <w:pPr>
      <w:ind w:firstLine="420"/>
      <w:rPr/>
    </w:pPr>
    <w:rPr/>
  </w:style>
  <w:style w:styleId="PO151" w:type="paragraph">
    <w:name w:val="header"/>
    <w:basedOn w:val="PO1"/>
    <w:link w:val="PO152"/>
    <w:uiPriority w:val="151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</w:pPr>
    <w:rPr>
      <w:sz w:val="18"/>
      <w:szCs w:val="18"/>
    </w:rPr>
  </w:style>
  <w:style w:customStyle="1" w:styleId="PO152" w:type="character">
    <w:name w:val="页眉 Char"/>
    <w:basedOn w:val="PO2"/>
    <w:link w:val="PO151"/>
    <w:uiPriority w:val="152"/>
    <w:rPr>
      <w:sz w:val="18"/>
      <w:szCs w:val="18"/>
      <w:rFonts w:ascii="Tahoma" w:eastAsia="微软雅黑" w:hAnsi="Tahoma" w:cstheme="minorBidi"/>
    </w:rPr>
  </w:style>
  <w:style w:styleId="PO153" w:type="paragraph">
    <w:name w:val="footer"/>
    <w:basedOn w:val="PO1"/>
    <w:link w:val="PO154"/>
    <w:uiPriority w:val="153"/>
    <w:pPr>
      <w:tabs>
        <w:tab w:val="center" w:pos="4153"/>
        <w:tab w:val="right" w:pos="8306"/>
      </w:tabs>
      <w:rPr/>
    </w:pPr>
    <w:rPr>
      <w:sz w:val="18"/>
      <w:szCs w:val="18"/>
    </w:rPr>
  </w:style>
  <w:style w:customStyle="1" w:styleId="PO154" w:type="character">
    <w:name w:val="页脚 Char"/>
    <w:basedOn w:val="PO2"/>
    <w:link w:val="PO153"/>
    <w:uiPriority w:val="154"/>
    <w:rPr>
      <w:sz w:val="18"/>
      <w:szCs w:val="18"/>
      <w:rFonts w:ascii="Tahoma" w:eastAsia="微软雅黑" w:hAnsi="Tahom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微软中国</Company>
  <DocSecurity>0</DocSecurity>
  <HyperlinksChanged>false</HyperlinksChanged>
  <Lines>6</Lines>
  <LinksUpToDate>false</LinksUpToDate>
  <Pages>2</Pages>
  <Paragraphs>1</Paragraphs>
  <Words>136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大众女神</dc:creator>
  <cp:lastModifiedBy/>
  <dcterms:modified xsi:type="dcterms:W3CDTF">2020-05-27T02:34:00Z</dcterms:modified>
</cp:coreProperties>
</file>