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hint="eastAsia" w:ascii="宋体" w:hAnsi="宋体" w:eastAsia="宋体" w:cs="宋体"/>
          <w:b/>
          <w:bCs/>
          <w:i w:val="0"/>
          <w:caps w:val="0"/>
          <w:color w:val="000000"/>
          <w:spacing w:val="0"/>
          <w:sz w:val="28"/>
          <w:szCs w:val="28"/>
          <w:lang w:eastAsia="zh-CN"/>
        </w:rPr>
      </w:pPr>
      <w:r>
        <w:rPr>
          <w:rFonts w:hint="eastAsia" w:ascii="宋体" w:hAnsi="宋体" w:eastAsia="宋体" w:cs="宋体"/>
          <w:b/>
          <w:bCs/>
          <w:i w:val="0"/>
          <w:caps w:val="0"/>
          <w:color w:val="000000"/>
          <w:spacing w:val="0"/>
          <w:sz w:val="28"/>
          <w:szCs w:val="28"/>
        </w:rPr>
        <w:t>智能制造系统实训室设备采购项目</w:t>
      </w:r>
      <w:r>
        <w:rPr>
          <w:rFonts w:hint="eastAsia" w:ascii="宋体" w:hAnsi="宋体" w:eastAsia="宋体" w:cs="宋体"/>
          <w:b/>
          <w:bCs/>
          <w:i w:val="0"/>
          <w:caps w:val="0"/>
          <w:color w:val="000000"/>
          <w:spacing w:val="0"/>
          <w:sz w:val="28"/>
          <w:szCs w:val="28"/>
          <w:lang w:eastAsia="zh-CN"/>
        </w:rPr>
        <w:t>招标公告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315"/>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受福州职业技术学院委托，福建省中达招标代理有限公司对[350100]ZDZB[GK]2018001、</w:t>
      </w:r>
      <w:r>
        <w:rPr>
          <w:rFonts w:hint="eastAsia" w:ascii="宋体" w:hAnsi="宋体" w:eastAsia="宋体" w:cs="宋体"/>
          <w:b w:val="0"/>
          <w:i w:val="0"/>
          <w:caps w:val="0"/>
          <w:color w:val="000000"/>
          <w:spacing w:val="0"/>
          <w:sz w:val="28"/>
          <w:szCs w:val="28"/>
        </w:rPr>
        <w:t>智能制造系统实训室设备采购项目组织进行公开招标，现欢迎国内合格的投标人前来投标。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1、招标编号：[350100]ZDZB[GK]2018001</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2、项目名称：智能制造系统实训室设备采购项目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3、招标内容及要求：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right"/>
        <w:textAlignment w:val="auto"/>
        <w:outlineLvl w:val="9"/>
        <w:rPr>
          <w:rFonts w:hint="eastAsia" w:ascii="宋体" w:hAnsi="宋体" w:eastAsia="宋体" w:cs="宋体"/>
          <w:sz w:val="28"/>
          <w:szCs w:val="28"/>
        </w:rPr>
      </w:pPr>
      <w:r>
        <w:rPr>
          <w:rFonts w:hint="eastAsia" w:ascii="宋体" w:hAnsi="宋体" w:eastAsia="宋体" w:cs="宋体"/>
          <w:sz w:val="28"/>
          <w:szCs w:val="28"/>
        </w:rPr>
        <w:t>金额单位：人民币元</w:t>
      </w:r>
      <w:r>
        <w:rPr>
          <w:rFonts w:hint="eastAsia" w:ascii="宋体" w:hAnsi="宋体" w:eastAsia="宋体" w:cs="宋体"/>
          <w:sz w:val="28"/>
          <w:szCs w:val="28"/>
        </w:rPr>
        <w:t xml:space="preserve"> </w:t>
      </w:r>
    </w:p>
    <w:tbl>
      <w:tblPr>
        <w:tblW w:w="830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07"/>
        <w:gridCol w:w="807"/>
        <w:gridCol w:w="1638"/>
        <w:gridCol w:w="807"/>
        <w:gridCol w:w="807"/>
        <w:gridCol w:w="807"/>
        <w:gridCol w:w="996"/>
        <w:gridCol w:w="163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rPr>
        <w:tc>
          <w:tcPr>
            <w:tcW w:w="80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hint="eastAsia" w:ascii="宋体" w:hAnsi="宋体" w:eastAsia="宋体" w:cs="宋体"/>
                <w:sz w:val="28"/>
                <w:szCs w:val="28"/>
              </w:rPr>
            </w:pPr>
            <w:r>
              <w:rPr>
                <w:rFonts w:hint="eastAsia" w:ascii="宋体" w:hAnsi="宋体" w:eastAsia="宋体" w:cs="宋体"/>
                <w:kern w:val="0"/>
                <w:sz w:val="28"/>
                <w:szCs w:val="28"/>
                <w:lang w:val="en-US" w:eastAsia="zh-CN" w:bidi="ar"/>
              </w:rPr>
              <w:t>合同包</w:t>
            </w:r>
          </w:p>
        </w:tc>
        <w:tc>
          <w:tcPr>
            <w:tcW w:w="80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hint="eastAsia" w:ascii="宋体" w:hAnsi="宋体" w:eastAsia="宋体" w:cs="宋体"/>
                <w:sz w:val="28"/>
                <w:szCs w:val="28"/>
              </w:rPr>
            </w:pPr>
            <w:r>
              <w:rPr>
                <w:rFonts w:hint="eastAsia" w:ascii="宋体" w:hAnsi="宋体" w:eastAsia="宋体" w:cs="宋体"/>
                <w:kern w:val="0"/>
                <w:sz w:val="28"/>
                <w:szCs w:val="28"/>
                <w:lang w:val="en-US" w:eastAsia="zh-CN" w:bidi="ar"/>
              </w:rPr>
              <w:t>品目号</w:t>
            </w:r>
          </w:p>
        </w:tc>
        <w:tc>
          <w:tcPr>
            <w:tcW w:w="163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hint="eastAsia" w:ascii="宋体" w:hAnsi="宋体" w:eastAsia="宋体" w:cs="宋体"/>
                <w:sz w:val="28"/>
                <w:szCs w:val="28"/>
              </w:rPr>
            </w:pPr>
            <w:r>
              <w:rPr>
                <w:rFonts w:hint="eastAsia" w:ascii="宋体" w:hAnsi="宋体" w:eastAsia="宋体" w:cs="宋体"/>
                <w:kern w:val="0"/>
                <w:sz w:val="28"/>
                <w:szCs w:val="28"/>
                <w:lang w:val="en-US" w:eastAsia="zh-CN" w:bidi="ar"/>
              </w:rPr>
              <w:t>采购标的</w:t>
            </w:r>
          </w:p>
        </w:tc>
        <w:tc>
          <w:tcPr>
            <w:tcW w:w="80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hint="eastAsia" w:ascii="宋体" w:hAnsi="宋体" w:eastAsia="宋体" w:cs="宋体"/>
                <w:sz w:val="28"/>
                <w:szCs w:val="28"/>
              </w:rPr>
            </w:pPr>
            <w:r>
              <w:rPr>
                <w:rFonts w:hint="eastAsia" w:ascii="宋体" w:hAnsi="宋体" w:eastAsia="宋体" w:cs="宋体"/>
                <w:kern w:val="0"/>
                <w:sz w:val="28"/>
                <w:szCs w:val="28"/>
                <w:lang w:val="en-US" w:eastAsia="zh-CN" w:bidi="ar"/>
              </w:rPr>
              <w:t>允许进口</w:t>
            </w:r>
          </w:p>
        </w:tc>
        <w:tc>
          <w:tcPr>
            <w:tcW w:w="80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hint="eastAsia" w:ascii="宋体" w:hAnsi="宋体" w:eastAsia="宋体" w:cs="宋体"/>
                <w:sz w:val="28"/>
                <w:szCs w:val="28"/>
              </w:rPr>
            </w:pPr>
            <w:r>
              <w:rPr>
                <w:rFonts w:hint="eastAsia" w:ascii="宋体" w:hAnsi="宋体" w:eastAsia="宋体" w:cs="宋体"/>
                <w:kern w:val="0"/>
                <w:sz w:val="28"/>
                <w:szCs w:val="28"/>
                <w:lang w:val="en-US" w:eastAsia="zh-CN" w:bidi="ar"/>
              </w:rPr>
              <w:t>数量</w:t>
            </w:r>
          </w:p>
        </w:tc>
        <w:tc>
          <w:tcPr>
            <w:tcW w:w="80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hint="eastAsia" w:ascii="宋体" w:hAnsi="宋体" w:eastAsia="宋体" w:cs="宋体"/>
                <w:sz w:val="28"/>
                <w:szCs w:val="28"/>
              </w:rPr>
            </w:pPr>
            <w:r>
              <w:rPr>
                <w:rFonts w:hint="eastAsia" w:ascii="宋体" w:hAnsi="宋体" w:eastAsia="宋体" w:cs="宋体"/>
                <w:kern w:val="0"/>
                <w:sz w:val="28"/>
                <w:szCs w:val="28"/>
                <w:lang w:val="en-US" w:eastAsia="zh-CN" w:bidi="ar"/>
              </w:rPr>
              <w:t>品目号预算</w:t>
            </w:r>
          </w:p>
        </w:tc>
        <w:tc>
          <w:tcPr>
            <w:tcW w:w="99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hint="eastAsia" w:ascii="宋体" w:hAnsi="宋体" w:eastAsia="宋体" w:cs="宋体"/>
                <w:sz w:val="28"/>
                <w:szCs w:val="28"/>
              </w:rPr>
            </w:pPr>
            <w:r>
              <w:rPr>
                <w:rFonts w:hint="eastAsia" w:ascii="宋体" w:hAnsi="宋体" w:eastAsia="宋体" w:cs="宋体"/>
                <w:kern w:val="0"/>
                <w:sz w:val="28"/>
                <w:szCs w:val="28"/>
                <w:lang w:val="en-US" w:eastAsia="zh-CN" w:bidi="ar"/>
              </w:rPr>
              <w:t>合同包预算</w:t>
            </w:r>
          </w:p>
        </w:tc>
        <w:tc>
          <w:tcPr>
            <w:tcW w:w="163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hint="eastAsia" w:ascii="宋体" w:hAnsi="宋体" w:eastAsia="宋体" w:cs="宋体"/>
                <w:sz w:val="28"/>
                <w:szCs w:val="28"/>
              </w:rPr>
            </w:pPr>
            <w:r>
              <w:rPr>
                <w:rFonts w:hint="eastAsia" w:ascii="宋体" w:hAnsi="宋体" w:eastAsia="宋体" w:cs="宋体"/>
                <w:kern w:val="0"/>
                <w:sz w:val="28"/>
                <w:szCs w:val="28"/>
                <w:lang w:val="en-US" w:eastAsia="zh-CN" w:bidi="ar"/>
              </w:rPr>
              <w:t>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80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hint="eastAsia" w:ascii="宋体" w:hAnsi="宋体" w:eastAsia="宋体" w:cs="宋体"/>
                <w:sz w:val="28"/>
                <w:szCs w:val="28"/>
              </w:rPr>
            </w:pPr>
            <w:r>
              <w:rPr>
                <w:rFonts w:hint="eastAsia" w:ascii="宋体" w:hAnsi="宋体" w:eastAsia="宋体" w:cs="宋体"/>
                <w:kern w:val="0"/>
                <w:sz w:val="28"/>
                <w:szCs w:val="28"/>
                <w:lang w:val="en-US" w:eastAsia="zh-CN" w:bidi="ar"/>
              </w:rPr>
              <w:t>1</w:t>
            </w:r>
          </w:p>
        </w:tc>
        <w:tc>
          <w:tcPr>
            <w:tcW w:w="4866" w:type="dxa"/>
            <w:gridSpan w:val="5"/>
            <w:tcBorders>
              <w:top w:val="outset" w:color="auto" w:sz="6" w:space="0"/>
              <w:left w:val="outset" w:color="auto" w:sz="6" w:space="0"/>
              <w:bottom w:val="outset" w:color="auto" w:sz="6" w:space="0"/>
              <w:right w:val="outset" w:color="auto" w:sz="6" w:space="0"/>
            </w:tcBorders>
            <w:shd w:val="clear"/>
            <w:vAlign w:val="center"/>
          </w:tcPr>
          <w:tbl>
            <w:tblPr>
              <w:tblW w:w="4835" w:type="dxa"/>
              <w:jc w:val="center"/>
              <w:tblInd w:w="2"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693"/>
              <w:gridCol w:w="1419"/>
              <w:gridCol w:w="693"/>
              <w:gridCol w:w="856"/>
              <w:gridCol w:w="1174"/>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6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outlineLvl w:val="9"/>
                    <w:rPr>
                      <w:rFonts w:hint="eastAsia" w:ascii="宋体" w:hAnsi="宋体" w:eastAsia="宋体" w:cs="宋体"/>
                      <w:sz w:val="28"/>
                      <w:szCs w:val="28"/>
                    </w:rPr>
                  </w:pPr>
                  <w:r>
                    <w:rPr>
                      <w:rFonts w:hint="eastAsia" w:ascii="宋体" w:hAnsi="宋体" w:eastAsia="宋体" w:cs="宋体"/>
                      <w:kern w:val="0"/>
                      <w:sz w:val="28"/>
                      <w:szCs w:val="28"/>
                      <w:lang w:val="en-US" w:eastAsia="zh-CN" w:bidi="ar"/>
                    </w:rPr>
                    <w:t>1-1</w:t>
                  </w:r>
                </w:p>
              </w:tc>
              <w:tc>
                <w:tcPr>
                  <w:tcW w:w="14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outlineLvl w:val="9"/>
                    <w:rPr>
                      <w:rFonts w:hint="eastAsia" w:ascii="宋体" w:hAnsi="宋体" w:eastAsia="宋体" w:cs="宋体"/>
                      <w:sz w:val="28"/>
                      <w:szCs w:val="28"/>
                    </w:rPr>
                  </w:pPr>
                  <w:r>
                    <w:rPr>
                      <w:rFonts w:hint="eastAsia" w:ascii="宋体" w:hAnsi="宋体" w:eastAsia="宋体" w:cs="宋体"/>
                      <w:kern w:val="0"/>
                      <w:sz w:val="28"/>
                      <w:szCs w:val="28"/>
                      <w:lang w:val="en-US" w:eastAsia="zh-CN" w:bidi="ar"/>
                    </w:rPr>
                    <w:t>工业机器人</w:t>
                  </w:r>
                </w:p>
              </w:tc>
              <w:tc>
                <w:tcPr>
                  <w:tcW w:w="6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outlineLvl w:val="9"/>
                    <w:rPr>
                      <w:rFonts w:hint="eastAsia" w:ascii="宋体" w:hAnsi="宋体" w:eastAsia="宋体" w:cs="宋体"/>
                      <w:sz w:val="28"/>
                      <w:szCs w:val="28"/>
                    </w:rPr>
                  </w:pPr>
                  <w:r>
                    <w:rPr>
                      <w:rFonts w:hint="eastAsia" w:ascii="宋体" w:hAnsi="宋体" w:eastAsia="宋体" w:cs="宋体"/>
                      <w:kern w:val="0"/>
                      <w:sz w:val="28"/>
                      <w:szCs w:val="28"/>
                      <w:lang w:val="en-US" w:eastAsia="zh-CN" w:bidi="ar"/>
                    </w:rPr>
                    <w:t>否</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outlineLvl w:val="9"/>
                    <w:rPr>
                      <w:rFonts w:hint="eastAsia" w:ascii="宋体" w:hAnsi="宋体" w:eastAsia="宋体" w:cs="宋体"/>
                      <w:sz w:val="28"/>
                      <w:szCs w:val="28"/>
                    </w:rPr>
                  </w:pPr>
                  <w:r>
                    <w:rPr>
                      <w:rFonts w:hint="eastAsia" w:ascii="宋体" w:hAnsi="宋体" w:eastAsia="宋体" w:cs="宋体"/>
                      <w:kern w:val="0"/>
                      <w:sz w:val="28"/>
                      <w:szCs w:val="28"/>
                      <w:lang w:val="en-US" w:eastAsia="zh-CN" w:bidi="ar"/>
                    </w:rPr>
                    <w:t>1（批）</w:t>
                  </w:r>
                </w:p>
              </w:tc>
              <w:tc>
                <w:tcPr>
                  <w:tcW w:w="11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outlineLvl w:val="9"/>
                    <w:rPr>
                      <w:rFonts w:hint="eastAsia" w:ascii="宋体" w:hAnsi="宋体" w:eastAsia="宋体" w:cs="宋体"/>
                      <w:sz w:val="28"/>
                      <w:szCs w:val="28"/>
                    </w:rPr>
                  </w:pPr>
                  <w:r>
                    <w:rPr>
                      <w:rFonts w:hint="eastAsia" w:ascii="宋体" w:hAnsi="宋体" w:eastAsia="宋体" w:cs="宋体"/>
                      <w:kern w:val="0"/>
                      <w:sz w:val="28"/>
                      <w:szCs w:val="28"/>
                      <w:lang w:val="en-US" w:eastAsia="zh-CN" w:bidi="ar"/>
                    </w:rPr>
                    <w:t>7455000</w:t>
                  </w:r>
                </w:p>
              </w:tc>
            </w:tr>
          </w:tbl>
          <w:p>
            <w:pPr>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outlineLvl w:val="9"/>
              <w:rPr>
                <w:rFonts w:hint="eastAsia" w:ascii="宋体" w:hAnsi="宋体" w:eastAsia="宋体" w:cs="宋体"/>
                <w:sz w:val="28"/>
                <w:szCs w:val="28"/>
              </w:rPr>
            </w:pPr>
          </w:p>
        </w:tc>
        <w:tc>
          <w:tcPr>
            <w:tcW w:w="99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hint="eastAsia" w:ascii="宋体" w:hAnsi="宋体" w:eastAsia="宋体" w:cs="宋体"/>
                <w:sz w:val="28"/>
                <w:szCs w:val="28"/>
              </w:rPr>
            </w:pPr>
            <w:r>
              <w:rPr>
                <w:rFonts w:hint="eastAsia" w:ascii="宋体" w:hAnsi="宋体" w:eastAsia="宋体" w:cs="宋体"/>
                <w:kern w:val="0"/>
                <w:sz w:val="28"/>
                <w:szCs w:val="28"/>
                <w:lang w:val="en-US" w:eastAsia="zh-CN" w:bidi="ar"/>
              </w:rPr>
              <w:t>7455000</w:t>
            </w:r>
          </w:p>
        </w:tc>
        <w:tc>
          <w:tcPr>
            <w:tcW w:w="163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hint="eastAsia" w:ascii="宋体" w:hAnsi="宋体" w:eastAsia="宋体" w:cs="宋体"/>
                <w:sz w:val="28"/>
                <w:szCs w:val="28"/>
              </w:rPr>
            </w:pPr>
            <w:r>
              <w:rPr>
                <w:rFonts w:hint="eastAsia" w:ascii="宋体" w:hAnsi="宋体" w:eastAsia="宋体" w:cs="宋体"/>
                <w:kern w:val="0"/>
                <w:sz w:val="28"/>
                <w:szCs w:val="28"/>
                <w:lang w:val="en-US" w:eastAsia="zh-CN" w:bidi="ar"/>
              </w:rPr>
              <w:t>149100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80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hint="eastAsia" w:ascii="宋体" w:hAnsi="宋体" w:eastAsia="宋体" w:cs="宋体"/>
                <w:sz w:val="28"/>
                <w:szCs w:val="28"/>
              </w:rPr>
            </w:pPr>
            <w:r>
              <w:rPr>
                <w:rFonts w:hint="eastAsia" w:ascii="宋体" w:hAnsi="宋体" w:eastAsia="宋体" w:cs="宋体"/>
                <w:kern w:val="0"/>
                <w:sz w:val="28"/>
                <w:szCs w:val="28"/>
                <w:lang w:val="en-US" w:eastAsia="zh-CN" w:bidi="ar"/>
              </w:rPr>
              <w:t>2</w:t>
            </w:r>
          </w:p>
        </w:tc>
        <w:tc>
          <w:tcPr>
            <w:tcW w:w="4866" w:type="dxa"/>
            <w:gridSpan w:val="5"/>
            <w:tcBorders>
              <w:top w:val="outset" w:color="auto" w:sz="6" w:space="0"/>
              <w:left w:val="outset" w:color="auto" w:sz="6" w:space="0"/>
              <w:bottom w:val="outset" w:color="auto" w:sz="6" w:space="0"/>
              <w:right w:val="outset" w:color="auto" w:sz="6" w:space="0"/>
            </w:tcBorders>
            <w:shd w:val="clear"/>
            <w:vAlign w:val="center"/>
          </w:tcPr>
          <w:tbl>
            <w:tblPr>
              <w:tblW w:w="4835" w:type="dxa"/>
              <w:jc w:val="center"/>
              <w:tblInd w:w="2"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693"/>
              <w:gridCol w:w="1419"/>
              <w:gridCol w:w="693"/>
              <w:gridCol w:w="856"/>
              <w:gridCol w:w="1174"/>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6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outlineLvl w:val="9"/>
                    <w:rPr>
                      <w:rFonts w:hint="eastAsia" w:ascii="宋体" w:hAnsi="宋体" w:eastAsia="宋体" w:cs="宋体"/>
                      <w:sz w:val="28"/>
                      <w:szCs w:val="28"/>
                    </w:rPr>
                  </w:pPr>
                  <w:r>
                    <w:rPr>
                      <w:rFonts w:hint="eastAsia" w:ascii="宋体" w:hAnsi="宋体" w:eastAsia="宋体" w:cs="宋体"/>
                      <w:kern w:val="0"/>
                      <w:sz w:val="28"/>
                      <w:szCs w:val="28"/>
                      <w:lang w:val="en-US" w:eastAsia="zh-CN" w:bidi="ar"/>
                    </w:rPr>
                    <w:t>2-1</w:t>
                  </w:r>
                </w:p>
              </w:tc>
              <w:tc>
                <w:tcPr>
                  <w:tcW w:w="14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outlineLvl w:val="9"/>
                    <w:rPr>
                      <w:rFonts w:hint="eastAsia" w:ascii="宋体" w:hAnsi="宋体" w:eastAsia="宋体" w:cs="宋体"/>
                      <w:sz w:val="28"/>
                      <w:szCs w:val="28"/>
                    </w:rPr>
                  </w:pPr>
                  <w:r>
                    <w:rPr>
                      <w:rFonts w:hint="eastAsia" w:ascii="宋体" w:hAnsi="宋体" w:eastAsia="宋体" w:cs="宋体"/>
                      <w:kern w:val="0"/>
                      <w:sz w:val="28"/>
                      <w:szCs w:val="28"/>
                      <w:lang w:val="en-US" w:eastAsia="zh-CN" w:bidi="ar"/>
                    </w:rPr>
                    <w:t>工业机械手</w:t>
                  </w:r>
                </w:p>
              </w:tc>
              <w:tc>
                <w:tcPr>
                  <w:tcW w:w="6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outlineLvl w:val="9"/>
                    <w:rPr>
                      <w:rFonts w:hint="eastAsia" w:ascii="宋体" w:hAnsi="宋体" w:eastAsia="宋体" w:cs="宋体"/>
                      <w:sz w:val="28"/>
                      <w:szCs w:val="28"/>
                    </w:rPr>
                  </w:pPr>
                  <w:r>
                    <w:rPr>
                      <w:rFonts w:hint="eastAsia" w:ascii="宋体" w:hAnsi="宋体" w:eastAsia="宋体" w:cs="宋体"/>
                      <w:kern w:val="0"/>
                      <w:sz w:val="28"/>
                      <w:szCs w:val="28"/>
                      <w:lang w:val="en-US" w:eastAsia="zh-CN" w:bidi="ar"/>
                    </w:rPr>
                    <w:t>否</w:t>
                  </w:r>
                </w:p>
              </w:tc>
              <w:tc>
                <w:tcPr>
                  <w:tcW w:w="8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outlineLvl w:val="9"/>
                    <w:rPr>
                      <w:rFonts w:hint="eastAsia" w:ascii="宋体" w:hAnsi="宋体" w:eastAsia="宋体" w:cs="宋体"/>
                      <w:sz w:val="28"/>
                      <w:szCs w:val="28"/>
                    </w:rPr>
                  </w:pPr>
                  <w:r>
                    <w:rPr>
                      <w:rFonts w:hint="eastAsia" w:ascii="宋体" w:hAnsi="宋体" w:eastAsia="宋体" w:cs="宋体"/>
                      <w:kern w:val="0"/>
                      <w:sz w:val="28"/>
                      <w:szCs w:val="28"/>
                      <w:lang w:val="en-US" w:eastAsia="zh-CN" w:bidi="ar"/>
                    </w:rPr>
                    <w:t>1（批）</w:t>
                  </w:r>
                </w:p>
              </w:tc>
              <w:tc>
                <w:tcPr>
                  <w:tcW w:w="11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outlineLvl w:val="9"/>
                    <w:rPr>
                      <w:rFonts w:hint="eastAsia" w:ascii="宋体" w:hAnsi="宋体" w:eastAsia="宋体" w:cs="宋体"/>
                      <w:sz w:val="28"/>
                      <w:szCs w:val="28"/>
                    </w:rPr>
                  </w:pPr>
                  <w:r>
                    <w:rPr>
                      <w:rFonts w:hint="eastAsia" w:ascii="宋体" w:hAnsi="宋体" w:eastAsia="宋体" w:cs="宋体"/>
                      <w:kern w:val="0"/>
                      <w:sz w:val="28"/>
                      <w:szCs w:val="28"/>
                      <w:lang w:val="en-US" w:eastAsia="zh-CN" w:bidi="ar"/>
                    </w:rPr>
                    <w:t>180000</w:t>
                  </w:r>
                </w:p>
              </w:tc>
            </w:tr>
          </w:tbl>
          <w:p>
            <w:pPr>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outlineLvl w:val="9"/>
              <w:rPr>
                <w:rFonts w:hint="eastAsia" w:ascii="宋体" w:hAnsi="宋体" w:eastAsia="宋体" w:cs="宋体"/>
                <w:sz w:val="28"/>
                <w:szCs w:val="28"/>
              </w:rPr>
            </w:pPr>
          </w:p>
        </w:tc>
        <w:tc>
          <w:tcPr>
            <w:tcW w:w="99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hint="eastAsia" w:ascii="宋体" w:hAnsi="宋体" w:eastAsia="宋体" w:cs="宋体"/>
                <w:sz w:val="28"/>
                <w:szCs w:val="28"/>
              </w:rPr>
            </w:pPr>
            <w:r>
              <w:rPr>
                <w:rFonts w:hint="eastAsia" w:ascii="宋体" w:hAnsi="宋体" w:eastAsia="宋体" w:cs="宋体"/>
                <w:kern w:val="0"/>
                <w:sz w:val="28"/>
                <w:szCs w:val="28"/>
                <w:lang w:val="en-US" w:eastAsia="zh-CN" w:bidi="ar"/>
              </w:rPr>
              <w:t>180000</w:t>
            </w:r>
          </w:p>
        </w:tc>
        <w:tc>
          <w:tcPr>
            <w:tcW w:w="163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hint="eastAsia" w:ascii="宋体" w:hAnsi="宋体" w:eastAsia="宋体" w:cs="宋体"/>
                <w:sz w:val="28"/>
                <w:szCs w:val="28"/>
              </w:rPr>
            </w:pPr>
            <w:r>
              <w:rPr>
                <w:rFonts w:hint="eastAsia" w:ascii="宋体" w:hAnsi="宋体" w:eastAsia="宋体" w:cs="宋体"/>
                <w:kern w:val="0"/>
                <w:sz w:val="28"/>
                <w:szCs w:val="28"/>
                <w:lang w:val="en-US" w:eastAsia="zh-CN" w:bidi="ar"/>
              </w:rPr>
              <w:t>3600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4、采购项目需要落实的政府采购政策：除特别说明外，下述政策适用于所有合同包。 (1)进口产品：执行《政府采购进口产品管理办法》，允许进口产品参加投标的品目详见《采购标的一览表》。(2)节能产品：执行第22期节能清单。(3)环境标志产品：执行第20期环境标志清单。(4)信息安全产品：执行《关于信息安全产品实施政府采购的通知（财库[2010]48号）》。(5)小型、微型企业：执行《政府采购促进中小企业发展暂行办法》。(6)监狱企业：执行《关于政府采购支持监狱企业发展有关问题的通知》（财库【2014】68号）。 (7)残疾人福利性单位：执行《关于促进残疾人就业政府采购政策的通知》（财库〔2017〕141号）。(8)信用记录，按照下列规定执行：①信用记录查询的截止时点：本项目招标公告发布之后，投标截止时间前。②信用记录查询渠道：中国政府采购网（www.ccgp.gov.cn）及“信用中国”网站（www.creditchina.gov.cn）。③查询记录和证据留存的具体方式：投标人应同时提供在招标文件要求的截止时点前通过上述2个网站获取的信用信息查询结果，信用信息查询结果应为从上述网站获取的查询结果原始页面的打印件或完整截图，否则投标无效。④信用记录查询的具体办法及使用规则：投标人参加本项目采购活动(投标截止时间)前三年内被列入失信被执行人名单、重大税收违法案件当事人名单、政府采购严重违法失信行为记录名单，受到政府采购行政处罚，且相关信用惩戒期限未满，以及其他不符合《中华人民共和国政府采购法》第二十二条规定条件的供应商，投标无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5、供应商的资格要求：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（1）符合《中华人民共和国政府采购法》第二十二条规定条件。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outlineLvl w:val="9"/>
        <w:rPr>
          <w:rFonts w:hint="eastAsia" w:ascii="宋体" w:hAnsi="宋体" w:eastAsia="宋体" w:cs="宋体"/>
          <w:sz w:val="28"/>
          <w:szCs w:val="28"/>
        </w:rPr>
      </w:pPr>
      <w:r>
        <w:rPr>
          <w:rStyle w:val="4"/>
          <w:rFonts w:hint="eastAsia" w:ascii="宋体" w:hAnsi="宋体" w:eastAsia="宋体" w:cs="宋体"/>
          <w:sz w:val="28"/>
          <w:szCs w:val="28"/>
        </w:rPr>
        <w:t>包：1</w:t>
      </w:r>
      <w:r>
        <w:rPr>
          <w:rFonts w:hint="eastAsia" w:ascii="宋体" w:hAnsi="宋体" w:eastAsia="宋体" w:cs="宋体"/>
          <w:sz w:val="28"/>
          <w:szCs w:val="28"/>
        </w:rPr>
        <w:t xml:space="preserve"> </w:t>
      </w:r>
      <w:r>
        <w:rPr>
          <w:rStyle w:val="4"/>
          <w:rFonts w:hint="eastAsia" w:ascii="宋体" w:hAnsi="宋体" w:eastAsia="宋体" w:cs="宋体"/>
          <w:sz w:val="28"/>
          <w:szCs w:val="28"/>
        </w:rPr>
        <w:t> 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outlineLvl w:val="9"/>
        <w:rPr>
          <w:rFonts w:hint="eastAsia" w:ascii="宋体" w:hAnsi="宋体" w:eastAsia="宋体" w:cs="宋体"/>
          <w:sz w:val="28"/>
          <w:szCs w:val="28"/>
        </w:rPr>
      </w:pPr>
      <w:r>
        <w:rPr>
          <w:rStyle w:val="4"/>
          <w:rFonts w:hint="eastAsia" w:ascii="宋体" w:hAnsi="宋体" w:eastAsia="宋体" w:cs="宋体"/>
          <w:kern w:val="0"/>
          <w:sz w:val="28"/>
          <w:szCs w:val="28"/>
          <w:lang w:val="en-US" w:eastAsia="zh-CN" w:bidi="ar"/>
        </w:rPr>
        <w:t>包：2</w:t>
      </w:r>
      <w:r>
        <w:rPr>
          <w:rStyle w:val="4"/>
          <w:rFonts w:hint="eastAsia" w:ascii="宋体" w:hAnsi="宋体" w:eastAsia="宋体" w:cs="宋体"/>
          <w:kern w:val="0"/>
          <w:sz w:val="28"/>
          <w:szCs w:val="28"/>
          <w:lang w:val="en-US" w:eastAsia="zh-CN" w:bidi="ar"/>
        </w:rPr>
        <w:t xml:space="preserve"> </w:t>
      </w:r>
      <w:r>
        <w:rPr>
          <w:rStyle w:val="4"/>
          <w:rFonts w:hint="eastAsia" w:ascii="宋体" w:hAnsi="宋体" w:eastAsia="宋体" w:cs="宋体"/>
          <w:kern w:val="0"/>
          <w:sz w:val="28"/>
          <w:szCs w:val="28"/>
          <w:lang w:val="en-US" w:eastAsia="zh-CN" w:bidi="ar"/>
        </w:rPr>
        <w:t>无</w:t>
      </w:r>
      <w:r>
        <w:rPr>
          <w:rFonts w:hint="eastAsia" w:ascii="宋体" w:hAnsi="宋体" w:eastAsia="宋体" w:cs="宋体"/>
          <w:kern w:val="0"/>
          <w:sz w:val="28"/>
          <w:szCs w:val="28"/>
          <w:lang w:val="en-US" w:eastAsia="zh-CN" w:bidi="ar"/>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6、购买招标文件时间、地点、方式或事项：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 招标文件随同本项目招标公告一并发布；投标人应先在福建省政府采购网(</w:t>
      </w:r>
      <w:r>
        <w:rPr>
          <w:rFonts w:hint="eastAsia" w:ascii="宋体" w:hAnsi="宋体" w:eastAsia="宋体" w:cs="宋体"/>
          <w:sz w:val="28"/>
          <w:szCs w:val="28"/>
        </w:rPr>
        <w:drawing>
          <wp:inline distT="0" distB="0" distL="114300" distR="114300">
            <wp:extent cx="9525" cy="95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r>
        <w:rPr>
          <w:rFonts w:hint="eastAsia" w:ascii="宋体" w:hAnsi="宋体" w:eastAsia="宋体" w:cs="宋体"/>
          <w:sz w:val="28"/>
          <w:szCs w:val="28"/>
        </w:rPr>
        <w:t>http://cz.fjzfcg.gov.cn)注册会员，再通过会员账号在福建省政府采购网上公开信息系统按项目进行报名及下载招标文件(请根据项目所在地，登录对应的（省本级/市级/区县)）福建省政府采购网上公开信息系统报名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)，否则投标将被拒绝。</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7、招标文件售价：0元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8、供应商报名开始时间：2018-02-07 17:00 报名截止时间:2018-02-22 17:00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9、投标截止时间：2018-03-05 14:30(北京时间)，供应商应在此之前将密封的投标文件送达（开标地点），逾期送达的或不符合规定的投标文件将被拒绝接收。</w:t>
      </w:r>
      <w:r>
        <w:rPr>
          <w:rFonts w:hint="eastAsia" w:ascii="宋体" w:hAnsi="宋体" w:eastAsia="宋体" w:cs="宋体"/>
          <w:b w:val="0"/>
          <w:i w:val="0"/>
          <w:caps w:val="0"/>
          <w:color w:val="000000"/>
          <w:spacing w:val="0"/>
          <w:sz w:val="28"/>
          <w:szCs w:val="28"/>
        </w:rPr>
        <w:br w:type="textWrapping"/>
      </w:r>
      <w:r>
        <w:rPr>
          <w:rFonts w:hint="eastAsia" w:ascii="宋体" w:hAnsi="宋体" w:eastAsia="宋体" w:cs="宋体"/>
          <w:b w:val="0"/>
          <w:i w:val="0"/>
          <w:caps w:val="0"/>
          <w:color w:val="000000"/>
          <w:spacing w:val="0"/>
          <w:sz w:val="28"/>
          <w:szCs w:val="28"/>
        </w:rPr>
        <w:t>10、开标时间及地点：2018-03-05 14:30，福州市晋安区华林路271号幸福新村龙福楼6楼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9F9F9"/>
        </w:rPr>
        <w:t>11、公告期限：5个工作日。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jc w:val="left"/>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12、本项目采购人：福州职业技术学院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jc w:val="left"/>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地址：福州市闽侯上街联榕路8号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jc w:val="left"/>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联系人姓名：郑彩霞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jc w:val="left"/>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联系电话：83760312</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jc w:val="left"/>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采购代理机构：福建省中达招标代理有限公司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jc w:val="left"/>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地址：福州市晋安区华林路271号幸福新村（龙福楼）6楼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315"/>
        <w:jc w:val="left"/>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项目联系人：陈丽芳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315"/>
        <w:jc w:val="left"/>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联系电话：0591-87805820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315"/>
        <w:jc w:val="left"/>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网址：cz.fjzfcg.gov.cn</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315"/>
        <w:jc w:val="left"/>
        <w:textAlignment w:val="auto"/>
        <w:outlineLvl w:val="9"/>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开户名：福建省中达招标代理有限公司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right"/>
        <w:textAlignment w:val="auto"/>
        <w:outlineLvl w:val="9"/>
        <w:rPr>
          <w:rFonts w:hint="eastAsia" w:ascii="宋体" w:hAnsi="宋体" w:eastAsia="宋体" w:cs="宋体"/>
          <w:sz w:val="28"/>
          <w:szCs w:val="28"/>
        </w:rPr>
      </w:pPr>
      <w:r>
        <w:rPr>
          <w:rFonts w:hint="eastAsia" w:ascii="宋体" w:hAnsi="宋体" w:eastAsia="宋体" w:cs="宋体"/>
          <w:sz w:val="28"/>
          <w:szCs w:val="28"/>
        </w:rPr>
        <w:t>                                            福建省中达招标代理有限公司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right"/>
        <w:textAlignment w:val="auto"/>
        <w:outlineLvl w:val="9"/>
        <w:rPr>
          <w:rFonts w:hint="eastAsia" w:ascii="宋体" w:hAnsi="宋体" w:eastAsia="宋体" w:cs="宋体"/>
          <w:sz w:val="28"/>
          <w:szCs w:val="28"/>
        </w:rPr>
      </w:pPr>
      <w:r>
        <w:rPr>
          <w:rFonts w:hint="eastAsia" w:ascii="宋体" w:hAnsi="宋体" w:eastAsia="宋体" w:cs="宋体"/>
          <w:sz w:val="28"/>
          <w:szCs w:val="28"/>
        </w:rPr>
        <w:t>2018-02-07</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hint="eastAsia" w:ascii="宋体" w:hAnsi="宋体" w:eastAsia="宋体" w:cs="宋体"/>
          <w:b w:val="0"/>
          <w:i w:val="0"/>
          <w:caps w:val="0"/>
          <w:color w:val="000000"/>
          <w:spacing w:val="0"/>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5562B"/>
    <w:rsid w:val="2DBE7B0E"/>
    <w:rsid w:val="6F6422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陈丽芳</cp:lastModifiedBy>
  <dcterms:modified xsi:type="dcterms:W3CDTF">2018-02-07T08:49:57Z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