
<file path=[Content_Types].xml><?xml version="1.0" encoding="utf-8"?>
<Types xmlns="http://schemas.openxmlformats.org/package/2006/content-types">
  <Default Extension="xml" ContentType="application/xml"/>
  <Default Extension="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header7.xml" ContentType="application/vnd.openxmlformats-officedocument.wordprocessingml.header+xml"/>
  <Override PartName="/word/document.xml" ContentType="application/vnd.openxmlformats-officedocument.wordprocessingml.document.main+xml"/>
  <Override PartName="/word/header5.xml" ContentType="application/vnd.openxmlformats-officedocument.wordprocessingml.header+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keepNext w:val="0"/>
        <w:keepLines w:val="0"/>
        <w:pageBreakBefore w:val="0"/>
        <w:overflowPunct w:val="1"/>
        <w:topLinePunct w:val="0"/>
        <w:kinsoku w:val="1"/>
        <w:autoSpaceDE w:val="1"/>
        <w:autoSpaceDN w:val="1"/>
        <w:bidi w:val="0"/>
        <w:jc w:val="center"/>
        <w:outlineLvl w:val="9"/>
        <w:tabs>
          <w:tab w:val="left" w:pos="1407"/>
        </w:tabs>
        <w:spacing w:line="500" w:lineRule="atLeast"/>
        <w:rPr>
          <w:sz w:val="32"/>
          <w:rFonts w:ascii="宋体" w:hAnsi="宋体" w:hint="eastAsia"/>
        </w:rPr>
      </w:pPr>
      <w:r>
        <w:rPr>
          <w:color w:val="242424"/>
          <w:sz w:val="32"/>
          <w:rFonts w:ascii="宋体" w:hAnsi="宋体" w:hint="eastAsia"/>
        </w:rPr>
      </w:r>
      <w:r>
        <w:rPr>
          <w:b w:val="1"/>
          <w:color w:val="242424"/>
          <w:sz w:val="32"/>
          <w:rFonts w:ascii="宋体" w:hAnsi="宋体" w:hint="eastAsia"/>
        </w:rPr>
      </w:r>
      <w:r>
        <w:rPr>
          <w:rStyle w:val="UserStyle_0"/>
          <w:b w:val="1"/>
          <w:color w:val="242424"/>
          <w:sz w:val="84"/>
          <w:szCs w:val="84"/>
          <w:bCs/>
          <w:rFonts w:ascii="宋体" w:hAnsi="宋体" w:hint="eastAsia"/>
        </w:rPr>
      </w:r>
      <w:r>
        <w:rPr>
          <w:b w:val="1"/>
          <w:color w:val="242424"/>
          <w:sz w:val="32"/>
          <w:rFonts w:ascii="宋体" w:hAnsi="宋体" w:hint="eastAsia"/>
        </w:rPr>
      </w:r>
      <w:r>
        <w:rPr>
          <w:b w:val="1"/>
          <w:color w:val="242424"/>
          <w:sz w:val="36"/>
          <w:szCs w:val="36"/>
          <w:rFonts w:ascii="宋体" w:hAnsi="宋体" w:hint="eastAsia"/>
        </w:rPr>
      </w:r>
      <w:r>
        <w:rPr>
          <w:rStyle w:val="UserStyle_0"/>
          <w:b w:val="1"/>
          <w:color w:val="242424"/>
          <w:sz w:val="30"/>
          <w:lang w:val="zh-CN"/>
          <w:szCs w:val="30"/>
          <w:bCs/>
          <w:rFonts w:ascii="宋体" w:hAnsi="宋体" w:hint="eastAsia"/>
        </w:rPr>
      </w:r>
      <w:r>
        <w:rPr>
          <w:b w:val="1"/>
          <w:color w:val="242424"/>
          <w:spacing w:val="100"/>
          <w:sz w:val="36"/>
          <w:rFonts w:ascii="宋体" w:hAnsi="宋体" w:hint="eastAsia"/>
        </w:rPr>
      </w:r>
      <w:r>
        <w:rPr>
          <w:color w:val="242424"/>
          <w:rFonts w:hint="eastAsia"/>
        </w:rPr>
      </w:r>
      <w:r>
        <w:rPr>
          <w:rStyle w:val="UserStyle_0"/>
          <w:b w:val="1"/>
          <w:color w:val="242424"/>
          <w:sz w:val="30"/>
          <w:szCs w:val="30"/>
          <w:bCs/>
          <w:rFonts w:ascii="宋体" w:hAnsi="宋体" w:hint="eastAsia"/>
        </w:rPr>
      </w:r>
      <w:r>
        <w:rPr>
          <w:b w:val="1"/>
          <w:color w:val="242424"/>
          <w:sz w:val="28"/>
          <w:szCs w:val="28"/>
          <w:bCs/>
          <w:rFonts w:ascii="宋体" w:hAnsi="宋体" w:hint="eastAsia"/>
        </w:rPr>
      </w:r>
      <w:r>
        <w:rPr>
          <w:b w:val="1"/>
          <w:color w:val="242424"/>
          <w:sz w:val="32"/>
          <w:szCs w:val="32"/>
          <w:bCs/>
          <w:rFonts w:ascii="宋体" w:hAnsi="宋体" w:hint="eastAsia"/>
        </w:rPr>
      </w:r>
      <w:r>
        <w:rPr>
          <w:b w:val="1"/>
          <w:color w:val="242424"/>
          <w:sz w:val="28"/>
          <w:rFonts w:ascii="宋体" w:hAnsi="宋体" w:hint="eastAsia"/>
        </w:rPr>
      </w:r>
      <w:r>
        <w:rPr>
          <w:color w:val="242424"/>
          <w:rFonts w:hint="eastAsia"/>
        </w:rPr>
      </w:r>
      <w:r>
        <w:rPr>
          <w:b w:val="1"/>
          <w:color w:val="242424"/>
          <w:sz w:val="28"/>
          <w:szCs w:val="28"/>
          <w:rFonts w:ascii="宋体" w:hAnsi="宋体" w:hint="eastAsia"/>
        </w:rPr>
      </w:r>
      <w:r>
        <w:rPr>
          <w:b w:val="1"/>
          <w:color w:val="242424"/>
          <w:sz w:val="28"/>
          <w:szCs w:val="28"/>
          <w:bCs/>
          <w:rFonts w:ascii="宋体" w:hAnsi="宋体" w:hint="eastAsia"/>
        </w:rPr>
        <w:instrText xml:space="preserve"> HYPERLINK "http://www.fjsxzb.com" </w:instrText>
      </w:r>
      <w:r>
        <w:rPr>
          <w:b w:val="1"/>
          <w:color w:val="242424"/>
          <w:sz w:val="28"/>
          <w:szCs w:val="28"/>
          <w:bCs/>
          <w:rFonts w:ascii="宋体" w:hAnsi="宋体" w:hint="eastAsia"/>
        </w:rPr>
        <w:fldChar w:fldCharType="separate"/>
      </w:r>
      <w:r>
        <w:rPr>
          <w:b w:val="1"/>
          <w:color w:val="242424"/>
          <w:sz w:val="28"/>
          <w:szCs w:val="28"/>
          <w:bCs/>
          <w:rFonts w:ascii="宋体" w:hAnsi="宋体" w:hint="eastAsia"/>
        </w:rPr>
        <w:fldChar w:fldCharType="end"/>
      </w:r>
      <w:r>
        <w:rPr>
          <w:color w:val="242424"/>
          <w:rFonts w:ascii="宋体" w:hAnsi="宋体" w:hint="eastAsia"/>
        </w:rPr>
        <w:t>数智可视化展示大屏采购项目竞价公告</w:t>
      </w:r>
    </w:p>
    <w:p>
      <w:pPr>
        <w:pStyle w:val="Normal"/>
        <w:rPr>
          <w:bCs/>
          <w:rFonts w:ascii="宋体" w:hAnsi="宋体" w:hint="eastAsia"/>
        </w:rPr>
      </w:pPr>
      <w:r>
        <w:rPr>
          <w:color w:val="242424"/>
          <w:bCs/>
          <w:rFonts w:ascii="宋体" w:hAnsi="宋体" w:hint="eastAsia"/>
        </w:rPr>
      </w:r>
    </w:p>
    <w:p>
      <w:pPr>
        <w:pStyle w:val="Normal"/>
        <w:rPr>
          <w:bCs/>
          <w:rFonts w:ascii="宋体" w:hAnsi="宋体" w:hint="eastAsia"/>
        </w:rPr>
      </w:pPr>
      <w:r>
        <w:rPr>
          <w:color w:val="242424"/>
          <w:bCs/>
          <w:rFonts w:ascii="宋体" w:hAnsi="宋体" w:hint="eastAsia"/>
        </w:rPr>
      </w:r>
    </w:p>
    <w:p>
      <w:pPr>
        <w:pStyle w:val="Normal"/>
        <w:rPr>
          <w:bCs/>
          <w:rFonts w:ascii="宋体" w:hAnsi="宋体" w:hint="eastAsia"/>
        </w:rPr>
      </w:pPr>
      <w:r>
        <w:rPr>
          <w:color w:val="242424"/>
          <w:bCs/>
          <w:rFonts w:ascii="宋体" w:hAnsi="宋体" w:hint="eastAsia"/>
        </w:rPr>
      </w:r>
    </w:p>
    <w:p>
      <w:pPr>
        <w:pStyle w:val="Normal"/>
        <w:rPr>
          <w:bCs/>
          <w:rFonts w:ascii="宋体" w:hAnsi="宋体" w:hint="eastAsia"/>
        </w:rPr>
      </w:pPr>
      <w:r>
        <w:rPr>
          <w:color w:val="242424"/>
          <w:bCs/>
          <w:rFonts w:ascii="宋体" w:hAnsi="宋体" w:hint="eastAsia"/>
        </w:rPr>
      </w:r>
    </w:p>
    <w:tbl>
      <w:tblPr>
        <w:tblW w:w="0" w:type="auto"/>
        <w:jc w:val="center"/>
        <w:tblInd w:type="dxa" w:w="-108.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9854.000000"/>
      </w:tblGrid>
    </w:tbl>
    <w:p>
      <w:pPr>
        <w:pStyle w:val="Normal"/>
        <w:widowControl w:val="1"/>
        <w:keepNext w:val="0"/>
        <w:keepLines w:val="0"/>
        <w:pageBreakBefore w:val="0"/>
        <w:overflowPunct w:val="1"/>
        <w:topLinePunct w:val="0"/>
        <w:kinsoku w:val="1"/>
        <w:autoSpaceDE w:val="1"/>
        <w:autoSpaceDN w:val="1"/>
        <w:bidi w:val="0"/>
        <w:jc w:val="center"/>
        <w:widowControl/>
        <w:outlineLvl w:val="9"/>
        <w:spacing w:line="480" w:lineRule="auto"/>
        <w:rPr>
          <w:sz w:val="24"/>
          <w:bCs/>
          <w:rFonts w:ascii="宋体" w:hAnsi="宋体" w:hint="eastAsia"/>
        </w:rPr>
      </w:pPr>
      <w:r>
        <w:rPr>
          <w:color w:val="242424"/>
          <w:sz w:val="24"/>
          <w:bCs/>
          <w:rFonts w:ascii="宋体" w:hAnsi="宋体" w:hint="eastAsia"/>
        </w:rPr>
      </w:r>
      <w:r>
        <w:rPr>
          <w:b w:val="1"/>
          <w:color w:val="242424"/>
          <w:sz w:val="36"/>
          <w:bCs/>
          <w:rFonts w:ascii="宋体" w:hAnsi="宋体" w:hint="eastAsia"/>
        </w:rPr>
      </w:r>
      <w:r>
        <w:rPr>
          <w:b w:val="1"/>
          <w:color w:val="242424"/>
          <w:lang w:val="en-US" w:eastAsia="zh-CN"/>
          <w:szCs w:val="21"/>
          <w:bCs/>
          <w:rFonts w:ascii="宋体" w:hAnsi="宋体" w:eastAsia="宋体" w:hint="eastAsia"/>
        </w:rPr>
        <w:t>第一部分  竞价须知</w:t>
      </w:r>
    </w:p>
    <w:p>
      <w:pPr>
        <w:pStyle w:val="Normal"/>
        <w:widowControl w:val="1"/>
        <w:keepNext w:val="0"/>
        <w:keepLines w:val="0"/>
        <w:pageBreakBefore w:val="0"/>
        <w:overflowPunct w:val="1"/>
        <w:topLinePunct w:val="0"/>
        <w:kinsoku w:val="1"/>
        <w:autoSpaceDE w:val="1"/>
        <w:autoSpaceDN w:val="1"/>
        <w:bidi w:val="0"/>
        <w:jc w:val="center"/>
        <w:widowControl/>
        <w:outlineLvl w:val="9"/>
        <w:rPr>
          <w:b w:val="1"/>
          <w:szCs w:val="21"/>
          <w:bCs/>
          <w:rFonts w:ascii="宋体" w:hAnsi="宋体" w:hint="eastAsia"/>
        </w:rPr>
      </w:pPr>
      <w:bookmarkStart w:name="_Toc385840942" w:id="6"/>
      <w:r>
        <w:rPr>
          <w:b w:val="1"/>
          <w:color w:val="242424"/>
          <w:szCs w:val="21"/>
          <w:bCs/>
          <w:rFonts w:ascii="宋体" w:hAnsi="宋体" w:hint="eastAsia"/>
        </w:rPr>
      </w:r>
    </w:p>
    <w:p>
      <w:pPr>
        <w:pStyle w:val="Normal"/>
        <w:widowControl w:val="1"/>
        <w:keepNext w:val="0"/>
        <w:keepLines w:val="0"/>
        <w:pageBreakBefore w:val="0"/>
        <w:overflowPunct w:val="1"/>
        <w:topLinePunct w:val="0"/>
        <w:kinsoku w:val="1"/>
        <w:autoSpaceDE w:val="1"/>
        <w:autoSpaceDN w:val="1"/>
        <w:bidi w:val="0"/>
        <w:jc w:val="center"/>
        <w:widowControl/>
        <w:outlineLvl w:val="9"/>
        <w:spacing w:line="360" w:lineRule="auto"/>
        <w:rPr>
          <w:b w:val="1"/>
          <w:sz w:val="21"/>
          <w:szCs w:val="21"/>
          <w:bCs/>
          <w:rFonts w:ascii="宋体" w:hAnsi="宋体" w:hint="eastAsia"/>
        </w:rPr>
      </w:pPr>
      <w:bookmarkStart w:name="_Toc23474" w:id="7"/>
      <w:bookmarkEnd w:id="6"/>
      <w:bookmarkEnd w:id="7"/>
      <w:r>
        <w:rPr>
          <w:b w:val="1"/>
          <w:color w:val="242424"/>
          <w:sz w:val="21"/>
          <w:szCs w:val="21"/>
          <w:bCs/>
          <w:rFonts w:ascii="宋体" w:hAnsi="宋体" w:hint="eastAsia"/>
        </w:rPr>
        <w:t>一、网上竞价邀请函</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0" w:firstLineChars="200"/>
        <w:rPr>
          <w:sz w:val="21"/>
          <w:szCs w:val="21"/>
          <w:kern w:val="0"/>
          <w:bCs/>
          <w:rFonts w:ascii="宋体" w:hAnsi="宋体" w:hint="eastAsia"/>
        </w:rPr>
      </w:pPr>
      <w:r>
        <w:rPr>
          <w:color w:val="242424"/>
          <w:sz w:val="21"/>
          <w:szCs w:val="21"/>
          <w:kern w:val="0"/>
          <w:rFonts w:ascii="宋体" w:hAnsi="宋体" w:hint="eastAsia"/>
        </w:rPr>
        <w:t>受福州职业技术学院委托，福建盛鑫招标代理有限公司采用网上竞价采购方式组织实施本次项目的采购，现邀请合格的供应商参加网上竞价。</w:t>
      </w:r>
    </w:p>
    <w:p>
      <w:pPr>
        <w:pStyle w:val="Normal"/>
        <w:widowControl w:val="1"/>
        <w:keepNext w:val="0"/>
        <w:keepLines w:val="0"/>
        <w:pageBreakBefore w:val="0"/>
        <w:overflowPunct w:val="1"/>
        <w:topLinePunct w:val="0"/>
        <w:kinsoku w:val="1"/>
        <w:autoSpaceDE w:val="1"/>
        <w:autoSpaceDN w:val="1"/>
        <w:bidi w:val="0"/>
        <w:jc w:val="start"/>
        <w:widowControl/>
        <w:outlineLvl w:val="9"/>
        <w:numPr>
          <w:ilvl w:val="0"/>
          <w:numId w:val="3"/>
        </w:numPr>
        <w:spacing w:line="360" w:lineRule="auto"/>
        <w:ind w:firstLine="420" w:firstLineChars="200"/>
        <w:rPr>
          <w:sz w:val="21"/>
          <w:szCs w:val="21"/>
          <w:rFonts w:ascii="宋体" w:hAnsi="宋体" w:hint="eastAsia"/>
        </w:rPr>
      </w:pPr>
      <w:r>
        <w:rPr>
          <w:color w:val="242424"/>
          <w:sz w:val="21"/>
          <w:szCs w:val="21"/>
          <w:rFonts w:ascii="宋体" w:hAnsi="宋体" w:hint="eastAsia"/>
        </w:rPr>
        <w:t>竞价编号：FJSXWJ2024009</w:t>
      </w:r>
    </w:p>
    <w:p>
      <w:pPr>
        <w:pStyle w:val="Normal"/>
        <w:widowControl w:val="1"/>
        <w:keepNext w:val="0"/>
        <w:keepLines w:val="0"/>
        <w:pageBreakBefore w:val="0"/>
        <w:overflowPunct w:val="1"/>
        <w:topLinePunct w:val="0"/>
        <w:kinsoku w:val="1"/>
        <w:autoSpaceDE w:val="1"/>
        <w:autoSpaceDN w:val="1"/>
        <w:bidi w:val="0"/>
        <w:jc w:val="start"/>
        <w:widowControl/>
        <w:outlineLvl w:val="9"/>
        <w:numPr>
          <w:ilvl w:val="0"/>
          <w:numId w:val="3"/>
        </w:numPr>
        <w:spacing w:line="360" w:lineRule="auto"/>
        <w:ind w:firstLine="420" w:firstLineChars="200"/>
        <w:rPr>
          <w:sz w:val="21"/>
          <w:szCs w:val="21"/>
          <w:rFonts w:ascii="宋体" w:hAnsi="宋体" w:hint="eastAsia"/>
        </w:rPr>
      </w:pPr>
      <w:r>
        <w:rPr>
          <w:color w:val="242424"/>
          <w:sz w:val="21"/>
          <w:szCs w:val="21"/>
          <w:rFonts w:ascii="宋体" w:hAnsi="宋体" w:hint="eastAsia"/>
        </w:rPr>
        <w:t>项目名称：数智可视化展示大屏采购项目</w:t>
      </w:r>
    </w:p>
    <w:p>
      <w:pPr>
        <w:pStyle w:val="Normal"/>
        <w:widowControl w:val="1"/>
        <w:keepNext w:val="0"/>
        <w:keepLines w:val="0"/>
        <w:pageBreakBefore w:val="0"/>
        <w:overflowPunct w:val="1"/>
        <w:topLinePunct w:val="0"/>
        <w:kinsoku w:val="1"/>
        <w:autoSpaceDE w:val="1"/>
        <w:autoSpaceDN w:val="1"/>
        <w:bidi w:val="0"/>
        <w:jc w:val="start"/>
        <w:widowControl/>
        <w:outlineLvl w:val="9"/>
        <w:numPr>
          <w:ilvl w:val="0"/>
          <w:numId w:val="3"/>
        </w:numPr>
        <w:spacing w:line="360" w:lineRule="auto"/>
        <w:ind w:firstLine="420" w:firstLineChars="200"/>
        <w:rPr>
          <w:sz w:val="21"/>
          <w:szCs w:val="21"/>
          <w:rFonts w:ascii="宋体" w:hAnsi="宋体" w:hint="eastAsia"/>
        </w:rPr>
      </w:pPr>
      <w:r>
        <w:rPr>
          <w:color w:val="242424"/>
          <w:sz w:val="21"/>
          <w:szCs w:val="21"/>
          <w:rFonts w:ascii="宋体" w:hAnsi="宋体" w:hint="eastAsia"/>
        </w:rPr>
        <w:t>货物名称、交货期及主要技术规格详见竞价内容及要求“竞价采购一览表”</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2" w:firstLineChars="200"/>
        <w:rPr>
          <w:b w:val="1"/>
          <w:sz w:val="21"/>
          <w:szCs w:val="21"/>
          <w:bCs/>
          <w:rFonts w:ascii="宋体" w:hAnsi="宋体" w:hint="eastAsia"/>
        </w:rPr>
      </w:pPr>
      <w:r>
        <w:rPr>
          <w:b w:val="1"/>
          <w:color w:val="242424"/>
          <w:sz w:val="21"/>
          <w:lang w:val="en-US" w:eastAsia="zh-CN"/>
          <w:szCs w:val="21"/>
          <w:bCs/>
          <w:rFonts w:ascii="宋体" w:hAnsi="宋体" w:eastAsia="宋体" w:hint="eastAsia"/>
        </w:rPr>
        <w:t>4.报名起止时间：2024年 8 月 21日9：00-2024年 8 月23日17:00</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2" w:firstLineChars="200"/>
        <w:rPr>
          <w:b w:val="1"/>
          <w:sz w:val="21"/>
          <w:szCs w:val="21"/>
          <w:bCs/>
          <w:rFonts w:ascii="宋体" w:hAnsi="宋体" w:hint="eastAsia"/>
        </w:rPr>
      </w:pPr>
      <w:r>
        <w:rPr>
          <w:b w:val="1"/>
          <w:color w:val="242424"/>
          <w:sz w:val="21"/>
          <w:lang w:eastAsia="zh-CN"/>
          <w:szCs w:val="21"/>
          <w:bCs/>
          <w:rFonts w:ascii="宋体" w:hAnsi="宋体" w:eastAsia="宋体" w:hint="eastAsia"/>
        </w:rPr>
        <w:t>5.竞价起止时间：2024年 8 月 26日9:00-11:00（北京时间）</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0" w:firstLineChars="200"/>
        <w:rPr>
          <w:sz w:val="21"/>
          <w:szCs w:val="21"/>
          <w:rFonts w:ascii="宋体" w:hAnsi="宋体" w:hint="eastAsia"/>
        </w:rPr>
      </w:pPr>
      <w:r>
        <w:rPr>
          <w:color w:val="242424"/>
          <w:sz w:val="21"/>
          <w:lang w:eastAsia="zh-CN"/>
          <w:szCs w:val="21"/>
          <w:rFonts w:ascii="宋体" w:hAnsi="宋体" w:hint="eastAsia"/>
        </w:rPr>
        <w:t>6．网上竞价招标文件售价为0元。</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0" w:firstLineChars="200"/>
        <w:rPr>
          <w:sz w:val="21"/>
          <w:lang w:eastAsia="zh-CN"/>
          <w:szCs w:val="21"/>
          <w:rFonts w:ascii="宋体" w:hAnsi="宋体" w:hint="eastAsia"/>
        </w:rPr>
      </w:pPr>
      <w:r>
        <w:rPr>
          <w:color w:val="242424"/>
          <w:sz w:val="21"/>
          <w:lang w:eastAsia="zh-CN"/>
          <w:szCs w:val="21"/>
          <w:rFonts w:ascii="宋体" w:hAnsi="宋体" w:eastAsia="宋体" w:hint="eastAsia"/>
        </w:rPr>
        <w:t>请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p>
    <w:p>
      <w:pPr>
        <w:pStyle w:val="Normal"/>
        <w:keepNext w:val="0"/>
        <w:keepLines w:val="0"/>
        <w:pageBreakBefore w:val="0"/>
        <w:overflowPunct w:val="1"/>
        <w:topLinePunct w:val="0"/>
        <w:kinsoku w:val="1"/>
        <w:autoSpaceDE w:val="1"/>
        <w:autoSpaceDN w:val="1"/>
        <w:bidi w:val="0"/>
        <w:outlineLvl w:val="9"/>
        <w:spacing w:line="360" w:lineRule="auto"/>
        <w:ind w:firstLine="420" w:firstLineChars="200"/>
        <w:rPr>
          <w:sz w:val="21"/>
          <w:szCs w:val="21"/>
          <w:rFonts w:ascii="宋体" w:hAnsi="宋体" w:hint="eastAsia"/>
        </w:rPr>
      </w:pPr>
      <w:r>
        <w:rPr>
          <w:color w:val="242424"/>
          <w:sz w:val="21"/>
          <w:szCs w:val="21"/>
          <w:rFonts w:ascii="宋体" w:hAnsi="宋体" w:eastAsia="宋体" w:hint="eastAsia"/>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outlineLvl w:val="9"/>
        <w:spacing w:line="360" w:lineRule="auto"/>
        <w:ind w:firstLine="420" w:firstLineChars="200"/>
        <w:rPr>
          <w:sz w:val="21"/>
          <w:lang w:val="en-US" w:eastAsia="zh-CN"/>
          <w:szCs w:val="21"/>
          <w:kern w:val="0"/>
          <w:rFonts w:ascii="宋体" w:hAnsi="宋体" w:eastAsia="宋体" w:hint="eastAsia"/>
        </w:rPr>
      </w:pPr>
      <w:r>
        <w:rPr>
          <w:color w:val="242424"/>
          <w:sz w:val="21"/>
          <w:szCs w:val="21"/>
          <w:kern w:val="0"/>
          <w:rFonts w:ascii="宋体" w:hAnsi="宋体" w:eastAsia="宋体" w:hint="eastAsia"/>
        </w:rPr>
        <w:t>8.采购单位：福州职业技术学院</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outlineLvl w:val="9"/>
        <w:spacing w:line="360" w:lineRule="auto"/>
        <w:ind w:firstLine="420" w:firstLineChars="200"/>
        <w:rPr>
          <w:sz w:val="21"/>
          <w:szCs w:val="21"/>
          <w:kern w:val="0"/>
          <w:rFonts w:ascii="宋体" w:hAnsi="宋体" w:eastAsia="宋体" w:hint="eastAsia"/>
        </w:rPr>
      </w:pPr>
      <w:r>
        <w:rPr>
          <w:color w:val="242424"/>
          <w:sz w:val="21"/>
          <w:szCs w:val="21"/>
          <w:kern w:val="0"/>
          <w:rFonts w:ascii="宋体" w:hAnsi="宋体" w:eastAsia="宋体" w:hint="eastAsia"/>
        </w:rPr>
        <w:t>地址：福州市闽侯上街联榕路8号</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outlineLvl w:val="9"/>
        <w:spacing w:line="360" w:lineRule="auto"/>
        <w:ind w:firstLine="420" w:firstLineChars="200"/>
        <w:rPr>
          <w:color w:val="0000ff"/>
          <w:sz w:val="21"/>
          <w:szCs w:val="21"/>
          <w:kern w:val="0"/>
          <w:rFonts w:ascii="宋体" w:hAnsi="宋体" w:eastAsia="宋体" w:hint="eastAsia"/>
        </w:rPr>
      </w:pPr>
      <w:r>
        <w:rPr>
          <w:color w:val="242424"/>
          <w:sz w:val="21"/>
          <w:szCs w:val="21"/>
          <w:kern w:val="0"/>
          <w:rFonts w:ascii="宋体" w:hAnsi="宋体" w:eastAsia="宋体" w:hint="eastAsia"/>
        </w:rPr>
        <w:t>联系人： 吴老师　　</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outlineLvl w:val="9"/>
        <w:spacing w:line="360" w:lineRule="auto"/>
        <w:ind w:firstLine="420" w:firstLineChars="200"/>
        <w:rPr>
          <w:color w:val="0000ff"/>
          <w:sz w:val="21"/>
          <w:szCs w:val="21"/>
          <w:kern w:val="0"/>
          <w:rFonts w:ascii="宋体" w:hAnsi="宋体" w:eastAsia="宋体" w:hint="eastAsia"/>
        </w:rPr>
      </w:pPr>
      <w:r>
        <w:rPr>
          <w:color w:val="242424"/>
          <w:sz w:val="21"/>
          <w:lang w:eastAsia="zh-CN"/>
          <w:szCs w:val="21"/>
          <w:kern w:val="0"/>
          <w:rFonts w:ascii="宋体" w:hAnsi="宋体" w:eastAsia="宋体" w:hint="eastAsia"/>
        </w:rPr>
        <w:t xml:space="preserve">联系电话：18065142681  </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0" w:firstLineChars="200"/>
        <w:rPr>
          <w:sz w:val="21"/>
          <w:szCs w:val="21"/>
          <w:rFonts w:ascii="宋体" w:hAnsi="宋体" w:eastAsia="宋体" w:hint="eastAsia"/>
        </w:rPr>
      </w:pPr>
      <w:r>
        <w:rPr>
          <w:color w:val="242424"/>
          <w:sz w:val="21"/>
          <w:szCs w:val="21"/>
          <w:rFonts w:ascii="宋体" w:hAnsi="宋体" w:eastAsia="宋体" w:hint="eastAsia"/>
        </w:rPr>
        <w:t>招标代理机构：福建盛鑫招标代理有限公司</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0" w:firstLineChars="200"/>
        <w:rPr>
          <w:sz w:val="21"/>
          <w:szCs w:val="21"/>
          <w:rFonts w:ascii="宋体" w:hAnsi="宋体" w:eastAsia="宋体" w:hint="eastAsia"/>
        </w:rPr>
      </w:pPr>
      <w:r>
        <w:rPr>
          <w:color w:val="242424"/>
          <w:sz w:val="21"/>
          <w:szCs w:val="21"/>
          <w:rFonts w:ascii="宋体" w:hAnsi="宋体" w:eastAsia="宋体" w:hint="eastAsia"/>
        </w:rPr>
        <w:t>地  址：福州市鼓楼区鼓东街道湖东路79号外运大厦七层  邮  编：350003</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0" w:firstLineChars="200"/>
        <w:rPr>
          <w:sz w:val="21"/>
          <w:szCs w:val="21"/>
          <w:rFonts w:ascii="宋体" w:hAnsi="宋体" w:eastAsia="宋体" w:hint="eastAsia"/>
        </w:rPr>
      </w:pPr>
      <w:r>
        <w:rPr>
          <w:color w:val="242424"/>
          <w:sz w:val="21"/>
          <w:lang w:val="en-US" w:eastAsia="zh-CN"/>
          <w:szCs w:val="21"/>
          <w:rFonts w:ascii="宋体" w:hAnsi="宋体" w:eastAsia="宋体" w:hint="eastAsia"/>
        </w:rPr>
        <w:t xml:space="preserve">电  话：0591-87600110 </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0" w:firstLineChars="200"/>
        <w:rPr>
          <w:sz w:val="21"/>
          <w:szCs w:val="21"/>
          <w:rFonts w:ascii="宋体" w:hAnsi="宋体" w:eastAsia="宋体" w:hint="eastAsia"/>
        </w:rPr>
      </w:pPr>
      <w:r>
        <w:rPr>
          <w:color w:val="242424"/>
          <w:sz w:val="21"/>
          <w:szCs w:val="21"/>
          <w:rFonts w:ascii="宋体" w:hAnsi="宋体" w:eastAsia="宋体" w:hint="eastAsia"/>
        </w:rPr>
        <w:t>联系人：小潘</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auto"/>
        <w:ind w:firstLine="420" w:firstLineChars="200"/>
        <w:rPr>
          <w:sz w:val="21"/>
          <w:szCs w:val="21"/>
          <w:rFonts w:ascii="宋体" w:hAnsi="宋体" w:eastAsia="宋体" w:hint="eastAsia"/>
        </w:rPr>
      </w:pPr>
      <w:r>
        <w:rPr>
          <w:color w:val="242424"/>
          <w:sz w:val="21"/>
          <w:szCs w:val="21"/>
          <w:rFonts w:ascii="宋体" w:hAnsi="宋体" w:eastAsia="宋体" w:hint="eastAsia"/>
        </w:rPr>
        <w:t>电子信箱：1051874670@qq.com</w:t>
      </w:r>
    </w:p>
    <w:p>
      <w:pPr>
        <w:pStyle w:val="Normal"/>
        <w:keepNext w:val="0"/>
        <w:keepLines w:val="0"/>
        <w:pageBreakBefore w:val="0"/>
        <w:overflowPunct w:val="1"/>
        <w:topLinePunct w:val="0"/>
        <w:kinsoku w:val="1"/>
        <w:autoSpaceDE w:val="1"/>
        <w:autoSpaceDN w:val="1"/>
        <w:bidi w:val="0"/>
        <w:jc w:val="start"/>
        <w:outlineLvl w:val="9"/>
        <w:spacing w:line="360" w:lineRule="auto"/>
        <w:ind w:firstLine="422" w:firstLineChars="200"/>
        <w:rPr>
          <w:b w:val="1"/>
          <w:sz w:val="21"/>
          <w:lang w:val="en-US" w:eastAsia="zh-CN"/>
          <w:szCs w:val="21"/>
          <w:kern w:val="0"/>
          <w:bCs/>
          <w:rFonts w:ascii="宋体" w:hAnsi="宋体" w:eastAsia="宋体" w:hint="eastAsia"/>
        </w:rPr>
      </w:pPr>
      <w:r>
        <w:rPr>
          <w:b w:val="1"/>
          <w:color w:val="242424"/>
          <w:sz w:val="21"/>
          <w:lang w:eastAsia="zh-CN"/>
          <w:szCs w:val="21"/>
          <w:kern w:val="0"/>
          <w:bCs/>
          <w:rFonts w:ascii="宋体" w:hAnsi="宋体" w:eastAsia="宋体" w:hint="eastAsia"/>
        </w:rPr>
        <w:t>9、竞价保证金、代理服务费汇款账号：</w:t>
      </w:r>
    </w:p>
    <w:p>
      <w:pPr>
        <w:pStyle w:val="Normal"/>
        <w:keepNext w:val="0"/>
        <w:keepLines w:val="0"/>
        <w:pageBreakBefore w:val="0"/>
        <w:overflowPunct w:val="1"/>
        <w:topLinePunct w:val="0"/>
        <w:kinsoku w:val="1"/>
        <w:autoSpaceDE w:val="1"/>
        <w:autoSpaceDN w:val="1"/>
        <w:bidi w:val="0"/>
        <w:jc w:val="start"/>
        <w:outlineLvl w:val="9"/>
        <w:spacing w:line="360" w:lineRule="auto"/>
        <w:ind w:firstLine="420" w:firstLineChars="200"/>
        <w:rPr>
          <w:sz w:val="21"/>
          <w:szCs w:val="21"/>
          <w:kern w:val="0"/>
          <w:rFonts w:ascii="宋体" w:hAnsi="宋体" w:eastAsia="宋体" w:hint="eastAsia"/>
        </w:rPr>
      </w:pPr>
      <w:r>
        <w:rPr>
          <w:color w:val="242424"/>
          <w:sz w:val="21"/>
          <w:szCs w:val="21"/>
          <w:kern w:val="0"/>
          <w:rFonts w:ascii="宋体" w:hAnsi="宋体" w:eastAsia="宋体" w:hint="eastAsia"/>
        </w:rPr>
        <w:t>开户名：福建盛鑫招标代理有限公司</w:t>
      </w:r>
    </w:p>
    <w:p>
      <w:pPr>
        <w:pStyle w:val="Normal"/>
        <w:keepNext w:val="0"/>
        <w:keepLines w:val="0"/>
        <w:pageBreakBefore w:val="0"/>
        <w:overflowPunct w:val="1"/>
        <w:topLinePunct w:val="0"/>
        <w:kinsoku w:val="1"/>
        <w:autoSpaceDE w:val="1"/>
        <w:autoSpaceDN w:val="1"/>
        <w:bidi w:val="0"/>
        <w:jc w:val="start"/>
        <w:outlineLvl w:val="9"/>
        <w:spacing w:line="360" w:lineRule="auto"/>
        <w:ind w:firstLine="420" w:firstLineChars="200"/>
        <w:rPr>
          <w:sz w:val="21"/>
          <w:szCs w:val="21"/>
          <w:kern w:val="0"/>
          <w:rFonts w:ascii="宋体" w:hAnsi="宋体" w:eastAsia="宋体" w:hint="eastAsia"/>
        </w:rPr>
      </w:pPr>
      <w:r>
        <w:rPr>
          <w:color w:val="242424"/>
          <w:sz w:val="21"/>
          <w:szCs w:val="21"/>
          <w:kern w:val="0"/>
          <w:rFonts w:ascii="宋体" w:hAnsi="宋体" w:eastAsia="宋体" w:hint="eastAsia"/>
        </w:rPr>
        <w:t>开户行：中信银行福州分行</w:t>
      </w:r>
    </w:p>
    <w:p>
      <w:pPr>
        <w:pStyle w:val="Normal"/>
        <w:keepNext w:val="0"/>
        <w:keepLines w:val="0"/>
        <w:pageBreakBefore w:val="0"/>
        <w:overflowPunct w:val="1"/>
        <w:topLinePunct w:val="0"/>
        <w:kinsoku w:val="1"/>
        <w:autoSpaceDE w:val="1"/>
        <w:autoSpaceDN w:val="1"/>
        <w:bidi w:val="0"/>
        <w:jc w:val="start"/>
        <w:outlineLvl w:val="9"/>
        <w:spacing w:line="360" w:lineRule="auto"/>
        <w:ind w:firstLine="420" w:firstLineChars="200"/>
        <w:rPr>
          <w:sz w:val="21"/>
          <w:szCs w:val="21"/>
          <w:kern w:val="0"/>
          <w:rFonts w:ascii="宋体" w:hAnsi="宋体" w:eastAsia="宋体" w:hint="eastAsia"/>
        </w:rPr>
      </w:pPr>
      <w:r>
        <w:rPr>
          <w:color w:val="242424"/>
          <w:sz w:val="21"/>
          <w:szCs w:val="21"/>
          <w:kern w:val="0"/>
          <w:rFonts w:ascii="宋体" w:hAnsi="宋体" w:eastAsia="宋体" w:hint="eastAsia"/>
        </w:rPr>
        <w:t>账 号：7341 0101 826 0022 7015</w:t>
      </w:r>
    </w:p>
    <w:p>
      <w:pPr>
        <w:pStyle w:val="Normal"/>
        <w:widowControl w:val="1"/>
        <w:keepNext w:val="0"/>
        <w:keepLines w:val="0"/>
        <w:pageBreakBefore w:val="0"/>
        <w:wordWrap w:val="1"/>
        <w:overflowPunct w:val="1"/>
        <w:topLinePunct w:val="0"/>
        <w:kinsoku w:val="1"/>
        <w:autoSpaceDE w:val="1"/>
        <w:autoSpaceDN w:val="1"/>
        <w:bidi w:val="0"/>
        <w:snapToGrid w:val="1"/>
        <w:jc w:val="center"/>
        <w:widowControl/>
        <w:outlineLvl w:val="9"/>
        <w:numPr>
          <w:ilvl w:val="0"/>
          <w:numId w:val="0"/>
        </w:numPr>
        <w:rPr>
          <w:b w:val="1"/>
          <w:szCs w:val="21"/>
          <w:bCs/>
          <w:rFonts w:ascii="宋体" w:hAnsi="宋体" w:eastAsia="宋体" w:hint="eastAsia"/>
        </w:rPr>
      </w:pPr>
      <w:bookmarkStart w:name="_Toc385840943" w:id="8"/>
      <w:r>
        <w:rPr>
          <w:b w:val="1"/>
          <w:color w:val="242424"/>
          <w:szCs w:val="21"/>
          <w:bCs/>
          <w:rFonts w:ascii="宋体" w:hAnsi="宋体" w:eastAsia="宋体" w:hint="eastAsia"/>
        </w:rPr>
      </w:r>
    </w:p>
    <w:p>
      <w:pPr>
        <w:pStyle w:val="Normal"/>
        <w:widowControl w:val="1"/>
        <w:keepNext w:val="0"/>
        <w:keepLines w:val="0"/>
        <w:pageBreakBefore w:val="0"/>
        <w:wordWrap w:val="1"/>
        <w:overflowPunct w:val="1"/>
        <w:topLinePunct w:val="0"/>
        <w:kinsoku w:val="1"/>
        <w:autoSpaceDE w:val="1"/>
        <w:autoSpaceDN w:val="1"/>
        <w:bidi w:val="0"/>
        <w:snapToGrid w:val="1"/>
        <w:jc w:val="both"/>
        <w:widowControl/>
        <w:outlineLvl w:val="9"/>
        <w:numPr>
          <w:ilvl w:val="0"/>
          <w:numId w:val="0"/>
        </w:numPr>
        <w:ind w:firstLine="422" w:firstLineChars="200"/>
        <w:rPr>
          <w:b w:val="1"/>
          <w:lang w:eastAsia="zh-CN"/>
          <w:szCs w:val="21"/>
          <w:bCs/>
          <w:rFonts w:ascii="宋体" w:hAnsi="宋体" w:eastAsia="宋体" w:hint="eastAsia"/>
        </w:rPr>
      </w:pPr>
      <w:bookmarkStart w:name="_Toc28461" w:id="9"/>
      <w:bookmarkEnd w:id="8"/>
      <w:bookmarkEnd w:id="9"/>
      <w:r>
        <w:rPr>
          <w:b w:val="1"/>
          <w:color w:val="242424"/>
          <w:szCs w:val="21"/>
          <w:bCs/>
          <w:rFonts w:ascii="宋体" w:hAnsi="宋体" w:eastAsia="宋体" w:hint="eastAsia"/>
        </w:rPr>
        <w:t>二、竞价采购一览表</w:t>
      </w:r>
    </w:p>
    <w:tbl>
      <w:tblPr>
        <w:tblW w:w="9002" w:type="dxa"/>
        <w:jc w:val="center"/>
        <w:tblInd w:type="dxa" w:w="0.000000"/>
        <w:tblLayout w:type="fixed"/>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type="dxa" w:w="0.000000"/>
          <w:bottom w:type="dxa" w:w="0.000000"/>
          <w:left w:type="dxa" w:w="0.000000"/>
          <w:right w:type="dxa" w:w="0.000000"/>
        </w:tblCellMar>
      </w:tblPr>
      <w:tblGrid>
        <w:gridCol w:w="838.000000"/>
        <w:gridCol w:w="828.000000"/>
        <w:gridCol w:w="2287.000000"/>
        <w:gridCol w:w="1073.000000"/>
        <w:gridCol w:w="1161.000000"/>
        <w:gridCol w:w="1287.000000"/>
        <w:gridCol w:w="1528.0000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blHeader/>
        </w:trPr>
        <w:tc>
          <w:tcPr>
            <w:tcW w:w="838" w:type="dxa"/>
            <w:vAlign w:val="center"/>
            <w:textDirection w:val="lrTb"/>
          </w:tcPr>
          <w:p>
            <w:pPr>
              <w:pStyle w:val="Normal"/>
              <w:keepNext w:val="0"/>
              <w:keepLines w:val="0"/>
              <w:pageBreakBefore w:val="0"/>
              <w:wordWrap w:val="1"/>
              <w:overflowPunct w:val="1"/>
              <w:topLinePunct w:val="0"/>
              <w:kinsoku w:val="1"/>
              <w:autoSpaceDE w:val="1"/>
              <w:autoSpaceDN w:val="1"/>
              <w:bidi w:val="0"/>
              <w:snapToGrid w:val="1"/>
              <w:jc w:val="center"/>
              <w:outlineLvl w:val="9"/>
              <w:rPr>
                <w:sz w:val="21"/>
                <w:szCs w:val="21"/>
                <w:kern w:val="0"/>
                <w:rFonts w:ascii="宋体" w:hAnsi="宋体" w:eastAsia="宋体" w:hint="eastAsia"/>
              </w:rPr>
            </w:pPr>
            <w:bookmarkStart w:name="_Toc385840944" w:id="10"/>
            <w:bookmarkStart w:name="_Toc140042883" w:id="11"/>
            <w:bookmarkStart w:name="_Toc140400460" w:id="12"/>
            <w:r>
              <w:rPr>
                <w:color w:val="242424"/>
                <w:sz w:val="21"/>
                <w:szCs w:val="21"/>
                <w:rFonts w:ascii="宋体" w:hAnsi="宋体" w:eastAsia="宋体" w:hint="eastAsia"/>
              </w:rPr>
              <w:t>合同包</w:t>
            </w:r>
          </w:p>
        </w:tc>
        <w:tc>
          <w:tcPr>
            <w:tcW w:w="82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szCs w:val="21"/>
                <w:kern w:val="0"/>
                <w:rFonts w:ascii="宋体" w:hAnsi="宋体" w:eastAsia="宋体" w:hint="eastAsia"/>
              </w:rPr>
            </w:pPr>
            <w:r>
              <w:rPr>
                <w:color w:val="242424"/>
                <w:sz w:val="21"/>
                <w:szCs w:val="21"/>
                <w:rFonts w:ascii="宋体" w:hAnsi="宋体" w:eastAsia="宋体" w:hint="eastAsia"/>
              </w:rPr>
              <w:t>品目号</w:t>
            </w:r>
          </w:p>
        </w:tc>
        <w:tc>
          <w:tcPr>
            <w:tcW w:w="2287"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lang w:eastAsia="zh-CN"/>
                <w:szCs w:val="21"/>
                <w:kern w:val="0"/>
                <w:rFonts w:ascii="宋体" w:hAnsi="宋体" w:eastAsia="宋体" w:hint="eastAsia"/>
              </w:rPr>
            </w:pPr>
            <w:r>
              <w:rPr>
                <w:color w:val="242424"/>
                <w:sz w:val="21"/>
                <w:szCs w:val="21"/>
                <w:rFonts w:ascii="宋体" w:hAnsi="宋体" w:eastAsia="宋体" w:hint="eastAsia"/>
              </w:rPr>
              <w:t>品目名称</w:t>
            </w:r>
          </w:p>
        </w:tc>
        <w:tc>
          <w:tcPr>
            <w:tcW w:w="1073"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szCs w:val="21"/>
                <w:kern w:val="0"/>
                <w:rFonts w:ascii="宋体" w:hAnsi="宋体" w:eastAsia="宋体" w:hint="eastAsia"/>
              </w:rPr>
            </w:pPr>
            <w:r>
              <w:rPr>
                <w:color w:val="242424"/>
                <w:sz w:val="21"/>
                <w:szCs w:val="21"/>
                <w:rFonts w:ascii="宋体" w:hAnsi="宋体" w:eastAsia="宋体" w:hint="eastAsia"/>
              </w:rPr>
              <w:t>数量</w:t>
            </w:r>
          </w:p>
        </w:tc>
        <w:tc>
          <w:tcPr>
            <w:tcW w:w="1161"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lang w:eastAsia="zh-CN"/>
                <w:szCs w:val="21"/>
                <w:kern w:val="0"/>
                <w:rFonts w:ascii="宋体" w:hAnsi="宋体" w:eastAsia="宋体" w:hint="eastAsia"/>
              </w:rPr>
            </w:pPr>
            <w:r>
              <w:rPr>
                <w:color w:val="242424"/>
                <w:sz w:val="21"/>
                <w:lang w:eastAsia="zh-CN"/>
                <w:szCs w:val="21"/>
                <w:kern w:val="0"/>
                <w:rFonts w:ascii="宋体" w:hAnsi="宋体" w:eastAsia="宋体" w:hint="eastAsia"/>
              </w:rPr>
              <w:t>单价（元）</w:t>
            </w:r>
          </w:p>
        </w:tc>
        <w:tc>
          <w:tcPr>
            <w:tcW w:w="1287"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lang w:eastAsia="zh-CN"/>
                <w:szCs w:val="21"/>
                <w:kern w:val="0"/>
                <w:rFonts w:ascii="宋体" w:hAnsi="宋体" w:eastAsia="宋体" w:hint="eastAsia"/>
              </w:rPr>
            </w:pPr>
            <w:r>
              <w:rPr>
                <w:color w:val="242424"/>
                <w:sz w:val="21"/>
                <w:szCs w:val="21"/>
                <w:rFonts w:ascii="宋体" w:hAnsi="宋体" w:eastAsia="宋体" w:hint="eastAsia"/>
              </w:rPr>
              <w:t>总价（元）</w:t>
            </w:r>
          </w:p>
        </w:tc>
        <w:tc>
          <w:tcPr>
            <w:tcW w:w="152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szCs w:val="21"/>
                <w:rFonts w:ascii="宋体" w:hAnsi="宋体" w:eastAsia="宋体" w:hint="eastAsia"/>
              </w:rPr>
            </w:pPr>
            <w:r>
              <w:rPr>
                <w:color w:val="242424"/>
                <w:sz w:val="21"/>
                <w:lang w:val="en-US" w:eastAsia="zh-CN"/>
                <w:szCs w:val="21"/>
                <w:rFonts w:ascii="宋体" w:hAnsi="宋体" w:eastAsia="宋体"/>
              </w:rPr>
              <w:t>竞价保证金（元）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blHeader/>
        </w:trPr>
        <w:tc>
          <w:tcPr>
            <w:tcW w:w="83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lang w:val="en-US" w:eastAsia="zh-CN"/>
                <w:szCs w:val="21"/>
                <w:kern w:val="0"/>
                <w:rFonts w:ascii="宋体" w:hAnsi="宋体" w:eastAsia="宋体" w:hint="eastAsia"/>
              </w:rPr>
            </w:pPr>
            <w:r>
              <w:rPr>
                <w:color w:val="242424"/>
                <w:sz w:val="21"/>
                <w:lang w:val="en-US" w:eastAsia="zh-CN"/>
                <w:szCs w:val="21"/>
                <w:kern w:val="0"/>
                <w:rFonts w:ascii="宋体" w:hAnsi="宋体" w:eastAsia="宋体" w:hint="eastAsia"/>
              </w:rPr>
              <w:t>1</w:t>
            </w:r>
          </w:p>
        </w:tc>
        <w:tc>
          <w:tcPr>
            <w:tcW w:w="82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lang w:val="en-US" w:eastAsia="zh-CN"/>
                <w:szCs w:val="21"/>
                <w:kern w:val="0"/>
                <w:rFonts w:ascii="宋体" w:hAnsi="宋体" w:eastAsia="宋体" w:hint="eastAsia"/>
              </w:rPr>
            </w:pPr>
            <w:r>
              <w:rPr>
                <w:color w:val="242424"/>
                <w:sz w:val="21"/>
                <w:lang w:val="en-US" w:eastAsia="zh-CN"/>
                <w:szCs w:val="21"/>
                <w:kern w:val="0"/>
                <w:rFonts w:ascii="宋体" w:hAnsi="宋体" w:eastAsia="宋体" w:hint="eastAsia"/>
              </w:rPr>
              <w:t>1</w:t>
            </w:r>
          </w:p>
        </w:tc>
        <w:tc>
          <w:tcPr>
            <w:tcW w:w="2287" w:type="dxa"/>
            <w:vAlign w:val="center"/>
            <w:textDirection w:val="lrTb"/>
          </w:tcPr>
          <w:p>
            <w:pPr>
              <w:pStyle w:val="Normal"/>
              <w:keepNext w:val="0"/>
              <w:keepLines w:val="0"/>
              <w:pageBreakBefore w:val="0"/>
              <w:wordWrap w:val="1"/>
              <w:overflowPunct w:val="1"/>
              <w:topLinePunct w:val="0"/>
              <w:kinsoku w:val="1"/>
              <w:autoSpaceDE w:val="1"/>
              <w:autoSpaceDN w:val="1"/>
              <w:bidi w:val="0"/>
              <w:jc w:val="center"/>
              <w:spacing w:line="500" w:lineRule="exact"/>
              <w:rPr>
                <w:sz w:val="21"/>
                <w:lang w:val="en-US"/>
                <w:szCs w:val="21"/>
                <w:kern w:val="0"/>
                <w:rFonts w:ascii="宋体" w:hAnsi="宋体" w:eastAsia="宋体" w:hint="eastAsia"/>
              </w:rPr>
            </w:pPr>
            <w:r>
              <w:rPr>
                <w:color w:val="242424"/>
                <w:sz w:val="21"/>
                <w:lang w:val="en-US"/>
                <w:szCs w:val="21"/>
                <w:kern w:val="0"/>
                <w:rFonts w:ascii="宋体" w:hAnsi="宋体" w:eastAsia="宋体" w:hint="eastAsia"/>
              </w:rPr>
              <w:t>数智可视化展示大屏</w:t>
            </w:r>
          </w:p>
        </w:tc>
        <w:tc>
          <w:tcPr>
            <w:tcW w:w="1073" w:type="dxa"/>
            <w:vAlign w:val="center"/>
            <w:textDirection w:val="lrTb"/>
          </w:tcPr>
          <w:p>
            <w:pPr>
              <w:pStyle w:val="Normal"/>
              <w:keepNext w:val="0"/>
              <w:keepLines w:val="0"/>
              <w:pageBreakBefore w:val="0"/>
              <w:wordWrap w:val="1"/>
              <w:overflowPunct w:val="1"/>
              <w:topLinePunct w:val="0"/>
              <w:kinsoku w:val="1"/>
              <w:autoSpaceDE w:val="1"/>
              <w:autoSpaceDN w:val="1"/>
              <w:bidi w:val="0"/>
              <w:jc w:val="center"/>
              <w:spacing w:line="500" w:lineRule="exact"/>
              <w:rPr>
                <w:sz w:val="24"/>
                <w:lang w:val="en-US" w:eastAsia="zh-CN"/>
                <w:rFonts w:ascii="宋体" w:hAnsi="宋体" w:eastAsia="宋体" w:hint="eastAsia"/>
              </w:rPr>
            </w:pPr>
            <w:r>
              <w:rPr>
                <w:color w:val="242424"/>
                <w:sz w:val="24"/>
                <w:lang w:val="en-US" w:eastAsia="zh-CN"/>
                <w:rFonts w:ascii="宋体" w:hAnsi="宋体" w:eastAsia="宋体" w:hint="eastAsia"/>
              </w:rPr>
              <w:t xml:space="preserve">1</w:t>
            </w:r>
            <w:r>
              <w:rPr>
                <w:color w:val="242424"/>
                <w:sz w:val="21"/>
                <w:lang w:val="en-US" w:eastAsia="zh-CN"/>
                <w:szCs w:val="21"/>
                <w:kern w:val="0"/>
                <w:rFonts w:ascii="宋体" w:hAnsi="宋体" w:eastAsia="宋体" w:hint="eastAsia"/>
              </w:rPr>
            </w:r>
          </w:p>
        </w:tc>
        <w:tc>
          <w:tcPr>
            <w:tcW w:w="1161" w:type="dxa"/>
            <w:vAlign w:val="center"/>
            <w:textDirection w:val="lrTb"/>
          </w:tcPr>
          <w:p>
            <w:pPr>
              <w:pStyle w:val="Normal"/>
              <w:keepNext w:val="0"/>
              <w:keepLines w:val="0"/>
              <w:pageBreakBefore w:val="0"/>
              <w:wordWrap w:val="1"/>
              <w:overflowPunct w:val="1"/>
              <w:topLinePunct w:val="0"/>
              <w:kinsoku w:val="1"/>
              <w:autoSpaceDE w:val="1"/>
              <w:autoSpaceDN w:val="1"/>
              <w:bidi w:val="0"/>
              <w:jc w:val="center"/>
              <w:spacing w:line="500" w:lineRule="exact"/>
              <w:rPr>
                <w:sz w:val="24"/>
                <w:lang w:val="en-US" w:eastAsia="zh-CN"/>
                <w:rFonts w:ascii="宋体" w:hAnsi="宋体" w:eastAsia="宋体" w:hint="eastAsia"/>
              </w:rPr>
            </w:pPr>
            <w:r>
              <w:rPr>
                <w:color w:val="242424"/>
                <w:sz w:val="24"/>
                <w:lang w:val="en-US" w:eastAsia="zh-CN"/>
                <w:rFonts w:ascii="宋体" w:hAnsi="宋体" w:eastAsia="宋体" w:hint="eastAsia"/>
              </w:rPr>
              <w:t>99000</w:t>
            </w:r>
          </w:p>
        </w:tc>
        <w:tc>
          <w:tcPr>
            <w:tcW w:w="1287" w:type="dxa"/>
            <w:vAlign w:val="center"/>
            <w:textDirection w:val="lrTb"/>
          </w:tcPr>
          <w:p>
            <w:pPr>
              <w:pStyle w:val="Normal"/>
              <w:keepNext w:val="0"/>
              <w:keepLines w:val="0"/>
              <w:pageBreakBefore w:val="0"/>
              <w:wordWrap w:val="1"/>
              <w:overflowPunct w:val="1"/>
              <w:topLinePunct w:val="0"/>
              <w:kinsoku w:val="1"/>
              <w:autoSpaceDE w:val="1"/>
              <w:autoSpaceDN w:val="1"/>
              <w:bidi w:val="0"/>
              <w:jc w:val="center"/>
              <w:spacing w:line="500" w:lineRule="exact"/>
              <w:rPr>
                <w:sz w:val="24"/>
                <w:lang w:val="en-US" w:eastAsia="zh-CN"/>
                <w:rFonts w:ascii="宋体" w:hAnsi="宋体" w:eastAsia="宋体" w:hint="eastAsia"/>
              </w:rPr>
            </w:pPr>
            <w:r>
              <w:rPr>
                <w:color w:val="242424"/>
                <w:sz w:val="24"/>
                <w:lang w:val="en-US" w:eastAsia="zh-CN"/>
                <w:rFonts w:ascii="宋体" w:hAnsi="宋体" w:eastAsia="宋体" w:hint="eastAsia"/>
              </w:rPr>
              <w:t xml:space="preserve">99000</w:t>
            </w:r>
            <w:r>
              <w:rPr>
                <w:color w:val="242424"/>
                <w:sz w:val="21"/>
                <w:lang w:val="en-US" w:eastAsia="zh-CN"/>
                <w:szCs w:val="21"/>
                <w:kern w:val="0"/>
                <w:rFonts w:ascii="宋体" w:hAnsi="宋体" w:eastAsia="宋体" w:hint="eastAsia"/>
              </w:rPr>
            </w:r>
          </w:p>
        </w:tc>
        <w:tc>
          <w:tcPr>
            <w:tcW w:w="152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lang w:val="en-US" w:eastAsia="zh-CN"/>
                <w:szCs w:val="21"/>
                <w:rFonts w:ascii="宋体" w:hAnsi="宋体" w:eastAsia="宋体" w:hint="eastAsia"/>
              </w:rPr>
            </w:pPr>
            <w:r>
              <w:rPr>
                <w:color w:val="242424"/>
                <w:sz w:val="21"/>
                <w:lang w:val="en-US" w:eastAsia="zh-CN"/>
                <w:szCs w:val="21"/>
                <w:rFonts w:ascii="宋体" w:hAnsi="宋体" w:eastAsia="宋体"/>
              </w:rPr>
              <w:t xml:space="preserve"> 2000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wAfter w:w="0" w:type="dxa"/>
          <w:tblHeader/>
        </w:trPr>
        <w:tc>
          <w:tcPr>
            <w:tcW w:w="9002" w:type="dxa"/>
            <w:gridSpan w:val="7"/>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szCs w:val="21"/>
                <w:kern w:val="0"/>
                <w:rFonts w:ascii="宋体" w:hAnsi="宋体" w:eastAsia="宋体" w:hint="eastAsia"/>
              </w:rPr>
            </w:pPr>
            <w:r>
              <w:rPr>
                <w:color w:val="242424"/>
                <w:sz w:val="21"/>
                <w:szCs w:val="21"/>
                <w:kern w:val="0"/>
                <w:rFonts w:ascii="宋体" w:hAnsi="宋体" w:eastAsia="宋体" w:hint="eastAsia"/>
              </w:rPr>
              <w:t>合同包预算总价：人民币玖万玖仟元整（￥99000.00）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wAfter w:w="0" w:type="dxa"/>
          <w:tblHeader/>
        </w:trPr>
        <w:tc>
          <w:tcPr>
            <w:tcW w:w="9002" w:type="dxa"/>
            <w:gridSpan w:val="7"/>
            <w:vAlign w:val="center"/>
            <w:textDirection w:val="lrTb"/>
          </w:tcPr>
          <w:p>
            <w:pPr>
              <w:pStyle w:val="Normal"/>
              <w:widowControl w:val="1"/>
              <w:keepNext w:val="0"/>
              <w:keepLines w:val="0"/>
              <w:pageBreakBefore w:val="0"/>
              <w:overflowPunct w:val="1"/>
              <w:topLinePunct w:val="0"/>
              <w:kinsoku w:val="1"/>
              <w:autoSpaceDE w:val="1"/>
              <w:autoSpaceDN w:val="1"/>
              <w:bidi w:val="0"/>
              <w:jc w:val="start"/>
              <w:widowControl/>
              <w:outlineLvl w:val="9"/>
              <w:rPr>
                <w:color w:val="00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备注：本项目所涉及的所有费用应包含税费、货物生产、制造、包装、运输、人工、税收、安装调试费及安装所需的辅料、验收、保修、退换货等履行本项目所支付的所有费用。</w:t>
            </w:r>
          </w:p>
        </w:tc>
      </w:tr>
    </w:tbl>
    <w:p>
      <w:pPr>
        <w:pStyle w:val="Normal"/>
        <w:widowControl w:val="1"/>
        <w:keepNext w:val="0"/>
        <w:keepLines w:val="0"/>
        <w:pageBreakBefore w:val="0"/>
        <w:wordWrap w:val="1"/>
        <w:overflowPunct w:val="1"/>
        <w:topLinePunct w:val="0"/>
        <w:kinsoku w:val="1"/>
        <w:autoSpaceDE w:val="1"/>
        <w:autoSpaceDN w:val="1"/>
        <w:bidi w:val="0"/>
        <w:snapToGrid w:val="1"/>
        <w:jc w:val="start"/>
        <w:widowControl/>
        <w:outlineLvl w:val="9"/>
        <w:spacing w:line="240" w:lineRule="auto"/>
        <w:ind w:firstLine="422" w:firstLineChars="200"/>
        <w:rPr>
          <w:b w:val="1"/>
          <w:color w:val="000000"/>
          <w:sz w:val="21"/>
          <w:lang w:eastAsia="zh-CN"/>
          <w:szCs w:val="21"/>
          <w:kern w:val="0"/>
          <w:rFonts w:ascii="宋体" w:hAnsi="宋体" w:eastAsia="宋体" w:hint="eastAsia"/>
        </w:rPr>
      </w:pPr>
      <w:bookmarkEnd w:id="10"/>
      <w:bookmarkEnd w:id="11"/>
      <w:bookmarkEnd w:id="12"/>
      <w:r>
        <w:rPr>
          <w:b w:val="1"/>
          <w:color w:val="242424"/>
          <w:sz w:val="21"/>
          <w:szCs w:val="21"/>
          <w:kern w:val="0"/>
          <w:rFonts w:ascii="宋体" w:hAnsi="宋体" w:eastAsia="宋体" w:hint="eastAsia"/>
        </w:rPr>
        <w:t>三、合格的竞价供应商</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outlineLvl w:val="9"/>
        <w:spacing w:line="240" w:lineRule="auto"/>
        <w:ind w:firstLine="420" w:firstLineChars="200"/>
        <w:rPr>
          <w:color w:val="000000"/>
          <w:sz w:val="21"/>
          <w:szCs w:val="21"/>
          <w:rFonts w:ascii="宋体" w:hAnsi="宋体" w:eastAsia="宋体" w:hint="eastAsia"/>
        </w:rPr>
      </w:pPr>
      <w:r>
        <w:rPr>
          <w:color w:val="242424"/>
          <w:sz w:val="21"/>
          <w:szCs w:val="21"/>
          <w:rFonts w:ascii="宋体" w:hAnsi="宋体" w:eastAsia="宋体" w:hint="eastAsia"/>
        </w:rPr>
        <w:t xml:space="preserve">1、有能力提供本竞价文件所述货物及服务的</w:t>
      </w:r>
      <w:r>
        <w:rPr>
          <w:b w:val="0"/>
          <w:color w:val="242424"/>
          <w:sz w:val="21"/>
          <w:szCs w:val="21"/>
          <w:bCs w:val="0"/>
          <w:rFonts w:ascii="宋体" w:hAnsi="宋体" w:eastAsia="宋体" w:hint="eastAsia"/>
        </w:rPr>
        <w:t xml:space="preserve">法人、其他组织或者自然人</w:t>
      </w:r>
      <w:r>
        <w:rPr>
          <w:color w:val="242424"/>
          <w:sz w:val="21"/>
          <w:szCs w:val="21"/>
          <w:rFonts w:ascii="宋体" w:hAnsi="宋体" w:eastAsia="宋体" w:hint="eastAsia"/>
        </w:rPr>
        <w:t xml:space="preserve">均可能成为合格的竞价人，并提供有效的营业执照复印件或其他相应的证明文件。 </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outlineLvl w:val="9"/>
        <w:spacing w:line="240" w:lineRule="auto"/>
        <w:ind w:firstLine="420" w:firstLineChars="200"/>
        <w:rPr>
          <w:color w:val="000000"/>
          <w:sz w:val="21"/>
          <w:szCs w:val="21"/>
          <w:rFonts w:ascii="宋体" w:hAnsi="宋体" w:eastAsia="宋体" w:hint="eastAsia"/>
        </w:rPr>
      </w:pPr>
      <w:r>
        <w:rPr>
          <w:color w:val="242424"/>
          <w:sz w:val="21"/>
          <w:szCs w:val="21"/>
          <w:rFonts w:ascii="宋体" w:hAnsi="宋体" w:eastAsia="宋体" w:hint="eastAsia"/>
        </w:rPr>
        <w:t>2、竞价承诺书。</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outlineLvl w:val="9"/>
        <w:spacing w:line="240" w:lineRule="auto"/>
        <w:ind w:firstLine="420" w:firstLineChars="200"/>
        <w:rPr>
          <w:color w:val="000000"/>
          <w:sz w:val="21"/>
          <w:szCs w:val="21"/>
          <w:rFonts w:ascii="宋体" w:hAnsi="宋体" w:eastAsia="宋体" w:hint="eastAsia"/>
        </w:rPr>
      </w:pPr>
      <w:r>
        <w:rPr>
          <w:color w:val="242424"/>
          <w:sz w:val="21"/>
          <w:szCs w:val="21"/>
          <w:rFonts w:ascii="宋体" w:hAnsi="宋体" w:eastAsia="宋体" w:hint="eastAsia"/>
        </w:rPr>
        <w:t>3、报价人的资格声明。</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0" w:firstLineChars="200"/>
        <w:rPr>
          <w:color w:val="000000"/>
          <w:sz w:val="21"/>
          <w:szCs w:val="21"/>
          <w:rFonts w:ascii="宋体" w:hAnsi="宋体" w:eastAsia="宋体" w:hint="eastAsia"/>
        </w:rPr>
      </w:pPr>
      <w:r>
        <w:rPr>
          <w:color w:val="242424"/>
          <w:sz w:val="21"/>
          <w:szCs w:val="21"/>
          <w:rFonts w:ascii="宋体" w:hAnsi="宋体" w:eastAsia="宋体" w:hint="eastAsia"/>
        </w:rPr>
        <w:t>4、法定代表人授权书（若有）</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0" w:firstLineChars="200"/>
        <w:rPr>
          <w:sz w:val="21"/>
          <w:szCs w:val="21"/>
          <w:rFonts w:ascii="宋体" w:hAnsi="宋体" w:eastAsia="宋体" w:hint="eastAsia"/>
        </w:rPr>
      </w:pPr>
      <w:r>
        <w:rPr>
          <w:color w:val="242424"/>
          <w:sz w:val="21"/>
          <w:szCs w:val="21"/>
          <w:rFonts w:ascii="宋体" w:hAnsi="宋体" w:eastAsia="宋体" w:hint="eastAsia"/>
        </w:rPr>
        <w:t>5、须提供参加本项目招标活动前3年内在经营活动中没有重大违法记录和无行贿犯罪的书面声明。</w:t>
      </w:r>
    </w:p>
    <w:p>
      <w:pPr>
        <w:pStyle w:val="HtmlNormal"/>
        <w:keepNext w:val="0"/>
        <w:keepLines w:val="0"/>
        <w:pageBreakBefore w:val="0"/>
        <w:overflowPunct w:val="1"/>
        <w:topLinePunct w:val="0"/>
        <w:kinsoku w:val="1"/>
        <w:autoSpaceDE w:val="1"/>
        <w:autoSpaceDN w:val="1"/>
        <w:bidi w:val="0"/>
        <w:outlineLvl w:val="9"/>
        <w:spacing w:after="0" w:afterAutospacing="0" w:before="0" w:beforeAutospacing="0" w:line="240" w:lineRule="auto"/>
        <w:ind w:firstLine="420" w:firstLineChars="200"/>
        <w:rPr>
          <w:sz w:val="21"/>
          <w:lang w:val="en-US" w:eastAsia="zh-CN"/>
          <w:szCs w:val="21"/>
          <w:rFonts w:ascii="宋体" w:hAnsi="宋体" w:eastAsia="宋体" w:hint="eastAsia"/>
        </w:rPr>
      </w:pPr>
      <w:r>
        <w:rPr>
          <w:color w:val="242424"/>
          <w:sz w:val="21"/>
          <w:szCs w:val="21"/>
          <w:rFonts w:ascii="宋体" w:hAnsi="宋体" w:eastAsia="宋体" w:hint="eastAsia"/>
        </w:rPr>
        <w:t xml:space="preserve">6、报价人须提供参加本项目招标活动前3年内在经营活动中无不良信用记录的书面声明，并同时提供通过</w:t>
      </w:r>
      <w:r>
        <w:rPr>
          <w:b w:val="1"/>
          <w:color w:val="242424"/>
          <w:sz w:val="21"/>
          <w:szCs w:val="21"/>
          <w:rFonts w:ascii="宋体" w:hAnsi="宋体" w:eastAsia="宋体" w:hint="eastAsia"/>
        </w:rPr>
        <w:t xml:space="preserve">“信用中国”网站（www.creditchina.gov.cn）、中国政府采购网（www.ccgp.gov.cn）信用信息查询无不良信用记录的打印件（或截图）</w:t>
      </w:r>
      <w:r>
        <w:rPr>
          <w:color w:val="242424"/>
          <w:sz w:val="21"/>
          <w:szCs w:val="21"/>
          <w:rFonts w:ascii="宋体" w:hAnsi="宋体" w:eastAsia="宋体" w:hint="eastAsia"/>
        </w:rPr>
        <w:t>。</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sz w:val="21"/>
          <w:lang w:val="en-GB"/>
          <w:szCs w:val="21"/>
          <w:rFonts w:ascii="宋体" w:hAnsi="宋体" w:eastAsia="宋体" w:hint="eastAsia"/>
        </w:rPr>
      </w:pPr>
      <w:r>
        <w:rPr>
          <w:color w:val="242424"/>
          <w:sz w:val="21"/>
          <w:szCs w:val="21"/>
          <w:rFonts w:ascii="宋体" w:hAnsi="宋体" w:eastAsia="宋体" w:hint="eastAsia"/>
        </w:rPr>
        <w:t xml:space="preserve">    备注：不良信用记录是指列入失信被执行人、重大税收违法案件当事人名单和政府采购严重违法失信行为记录名单等。</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0" w:firstLineChars="200"/>
        <w:rPr>
          <w:sz w:val="21"/>
          <w:lang w:val="en-US" w:eastAsia="zh-CN"/>
          <w:szCs w:val="21"/>
          <w:rFonts w:ascii="宋体" w:hAnsi="宋体" w:eastAsia="宋体" w:hint="eastAsia"/>
        </w:rPr>
      </w:pPr>
      <w:r>
        <w:rPr>
          <w:color w:val="242424"/>
          <w:sz w:val="21"/>
          <w:lang w:val="en-US" w:eastAsia="zh-CN"/>
          <w:szCs w:val="21"/>
          <w:rFonts w:ascii="宋体" w:hAnsi="宋体" w:eastAsia="宋体" w:hint="eastAsia"/>
        </w:rPr>
        <w:t>7、竞价保证金凭证复印件。</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0" w:firstLineChars="200"/>
        <w:rPr>
          <w:sz w:val="21"/>
          <w:lang w:val="en-US" w:eastAsia="zh-CN"/>
          <w:szCs w:val="21"/>
          <w:rFonts w:ascii="宋体" w:hAnsi="宋体" w:eastAsia="宋体" w:hint="eastAsia"/>
        </w:rPr>
      </w:pPr>
      <w:r>
        <w:rPr>
          <w:color w:val="242424"/>
          <w:sz w:val="21"/>
          <w:szCs w:val="21"/>
          <w:kern w:val="0"/>
          <w:rFonts w:ascii="宋体" w:hAnsi="宋体" w:eastAsia="宋体" w:hint="eastAsia"/>
        </w:rPr>
        <w:t>8、本项目拒绝列入政府不良行为记录期间的企业或个人参与报价。</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2" w:firstLineChars="200"/>
        <w:rPr>
          <w:b w:val="1"/>
          <w:sz w:val="21"/>
          <w:lang w:val="en-US" w:eastAsia="zh-CN"/>
          <w:szCs w:val="21"/>
          <w:kern w:val="0"/>
          <w:bCs/>
          <w:rFonts w:ascii="宋体" w:hAnsi="宋体" w:eastAsia="宋体" w:hint="eastAsia"/>
        </w:rPr>
      </w:pPr>
      <w:r>
        <w:rPr>
          <w:b w:val="1"/>
          <w:color w:val="242424"/>
          <w:sz w:val="21"/>
          <w:lang w:val="en-US" w:eastAsia="zh-CN"/>
          <w:szCs w:val="21"/>
          <w:kern w:val="0"/>
          <w:bCs/>
          <w:rFonts w:ascii="宋体" w:hAnsi="宋体" w:eastAsia="宋体" w:hint="eastAsia"/>
        </w:rPr>
        <w:t>9、本项目特定资格：无</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sz w:val="21"/>
          <w:lang w:val="en-US" w:eastAsia="zh-CN"/>
          <w:szCs w:val="21"/>
          <w:kern w:val="0"/>
          <w:bCs/>
          <w:rFonts w:ascii="宋体" w:hAnsi="宋体" w:eastAsia="宋体" w:hint="eastAsia"/>
        </w:rPr>
      </w:pPr>
      <w:r>
        <w:rPr>
          <w:b w:val="1"/>
          <w:color w:val="242424"/>
          <w:sz w:val="21"/>
          <w:lang w:val="en-US" w:eastAsia="zh-CN"/>
          <w:szCs w:val="21"/>
          <w:kern w:val="0"/>
          <w:bCs/>
          <w:rFonts w:ascii="宋体" w:hAnsi="宋体" w:eastAsia="宋体" w:hint="eastAsia"/>
        </w:rPr>
        <w:t xml:space="preserve">四、报名及递交材料须知</w:t>
      </w:r>
      <w:r>
        <w:rPr>
          <w:b w:val="1"/>
          <w:color w:val="242424"/>
          <w:szCs w:val="21"/>
          <w:kern w:val="0"/>
          <w:rFonts w:ascii="宋体" w:hAnsi="宋体" w:eastAsia="宋体" w:hint="eastAsia"/>
        </w:rPr>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 w:val="21"/>
          <w:szCs w:val="21"/>
          <w:kern w:val="0"/>
          <w:rFonts w:ascii="宋体" w:hAnsi="宋体" w:eastAsia="宋体" w:hint="eastAsia"/>
        </w:rPr>
      </w:pPr>
      <w:r>
        <w:rPr>
          <w:color w:val="242424"/>
          <w:sz w:val="21"/>
          <w:szCs w:val="21"/>
          <w:kern w:val="0"/>
          <w:bCs/>
          <w:rFonts w:ascii="宋体" w:hAnsi="宋体" w:eastAsia="宋体" w:hint="eastAsia"/>
        </w:rPr>
        <w:t xml:space="preserve">竞价人须先登录福建盛鑫招标代理有限公司官网(http://www.fjsxzb .com)首页进行供应商注册，如实完整填写竞价人资料并在网上竞价截止时间前一个工作日须提交 “合格的竞价人”要求的所有相关材料并加盖公章，并同时提供竞价保证金凭证复印件加盖公章（报名文件请发送1051874670@qq.com邮箱）。未按以上要求提交报名材料的竞价人，将导致其竞价资格被拒绝。</w:t>
      </w:r>
      <w:r>
        <w:rPr>
          <w:b w:val="1"/>
          <w:color w:val="242424"/>
          <w:sz w:val="21"/>
          <w:szCs w:val="21"/>
          <w:kern w:val="0"/>
          <w:bCs/>
          <w:rFonts w:ascii="宋体" w:hAnsi="宋体" w:eastAsia="宋体" w:hint="eastAsia"/>
        </w:rPr>
        <w:t xml:space="preserve">（注册完成后须致电：潘华明13950286270,0591-87600110进行审核并开放该项目竞价权限方可登录）。</w:t>
      </w:r>
      <w:r>
        <w:rPr>
          <w:color w:val="242424"/>
          <w:sz w:val="21"/>
          <w:szCs w:val="21"/>
          <w:kern w:val="0"/>
          <w:rFonts w:ascii="宋体" w:hAnsi="宋体" w:eastAsia="宋体" w:hint="eastAsia"/>
        </w:rPr>
      </w:r>
    </w:p>
    <w:p>
      <w:pPr>
        <w:pStyle w:val="Normal"/>
        <w:widowControl w:val="1"/>
        <w:keepNext w:val="0"/>
        <w:keepLines w:val="0"/>
        <w:pageBreakBefore w:val="0"/>
        <w:wordWrap w:val="1"/>
        <w:overflowPunct w:val="1"/>
        <w:topLinePunct w:val="0"/>
        <w:kinsoku w:val="1"/>
        <w:autoSpaceDE w:val="1"/>
        <w:autoSpaceDN w:val="1"/>
        <w:bidi w:val="0"/>
        <w:snapToGrid w:val="1"/>
        <w:jc w:val="start"/>
        <w:widowControl/>
        <w:spacing w:line="240" w:lineRule="auto"/>
        <w:ind w:firstLine="422" w:firstLineChars="200"/>
        <w:rPr>
          <w:b w:val="1"/>
          <w:color w:val="000000"/>
          <w:sz w:val="21"/>
          <w:lang w:eastAsia="zh-CN"/>
          <w:szCs w:val="21"/>
          <w:bCs/>
          <w:rFonts w:ascii="宋体" w:hAnsi="宋体" w:eastAsia="宋体" w:hint="eastAsia"/>
        </w:rPr>
      </w:pPr>
      <w:r>
        <w:rPr>
          <w:b w:val="1"/>
          <w:color w:val="242424"/>
          <w:sz w:val="21"/>
          <w:szCs w:val="21"/>
          <w:bCs/>
          <w:rFonts w:ascii="宋体" w:hAnsi="宋体" w:eastAsia="宋体" w:hint="eastAsia"/>
        </w:rPr>
        <w:t>五、报价须知</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spacing w:line="240" w:lineRule="auto"/>
        <w:ind w:firstLine="420" w:firstLineChars="200"/>
        <w:rPr>
          <w:color w:val="000000"/>
          <w:sz w:val="21"/>
          <w:szCs w:val="21"/>
          <w:rFonts w:ascii="宋体" w:hAnsi="宋体" w:eastAsia="宋体" w:hint="eastAsia"/>
        </w:rPr>
      </w:pPr>
      <w:r>
        <w:rPr>
          <w:color w:val="242424"/>
          <w:sz w:val="21"/>
          <w:szCs w:val="21"/>
          <w:rFonts w:ascii="宋体" w:hAnsi="宋体" w:eastAsia="宋体" w:hint="eastAsia"/>
        </w:rPr>
        <w:t>1、本次采购的服务为国内供应商。</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spacing w:line="240" w:lineRule="auto"/>
        <w:ind w:firstLine="420" w:firstLineChars="200"/>
        <w:rPr>
          <w:color w:val="000000"/>
          <w:sz w:val="21"/>
          <w:szCs w:val="21"/>
          <w:rFonts w:ascii="宋体" w:hAnsi="宋体" w:eastAsia="宋体" w:hint="eastAsia"/>
        </w:rPr>
      </w:pPr>
      <w:r>
        <w:rPr>
          <w:color w:val="242424"/>
          <w:sz w:val="21"/>
          <w:szCs w:val="21"/>
          <w:rFonts w:ascii="宋体" w:hAnsi="宋体" w:eastAsia="宋体" w:hint="eastAsia"/>
        </w:rPr>
        <w:t>2、单位负责人为同一人或者存在直接控股、管理关系的不同报价人，不得参加同一合同项下的采购活动。</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spacing w:line="240" w:lineRule="auto"/>
        <w:ind w:firstLine="422" w:firstLineChars="200"/>
        <w:rPr>
          <w:b w:val="1"/>
          <w:color w:val="000000"/>
          <w:sz w:val="21"/>
          <w:szCs w:val="21"/>
          <w:shd w:val="pct10" w:color="auto" w:fill="FFFFFF"/>
          <w:rFonts w:ascii="宋体" w:hAnsi="宋体" w:eastAsia="宋体" w:hint="eastAsia"/>
        </w:rPr>
      </w:pPr>
      <w:r>
        <w:rPr>
          <w:b w:val="1"/>
          <w:color w:val="242424"/>
          <w:sz w:val="21"/>
          <w:szCs w:val="21"/>
          <w:shd w:val="pct10" w:color="auto" w:fill="FFFFFF"/>
          <w:rFonts w:ascii="宋体" w:hAnsi="宋体" w:eastAsia="宋体" w:hint="eastAsia"/>
        </w:rPr>
        <w:t>报价人有责任对以上情形做出声明，否则报价将被拒绝。</w:t>
      </w:r>
    </w:p>
    <w:p>
      <w:pPr>
        <w:pStyle w:val="Normal"/>
        <w:widowControl w:val="1"/>
        <w:keepNext w:val="0"/>
        <w:keepLines w:val="0"/>
        <w:pageBreakBefore w:val="0"/>
        <w:wordWrap w:val="1"/>
        <w:overflowPunct w:val="1"/>
        <w:topLinePunct w:val="0"/>
        <w:kinsoku w:val="1"/>
        <w:autoSpaceDE w:val="1"/>
        <w:autoSpaceDN w:val="1"/>
        <w:bidi w:val="0"/>
        <w:snapToGrid w:val="1"/>
        <w:widowControl/>
        <w:spacing w:line="240" w:lineRule="auto"/>
        <w:ind w:firstLine="422" w:firstLineChars="200"/>
        <w:rPr>
          <w:b w:val="1"/>
          <w:color w:val="000000"/>
          <w:sz w:val="21"/>
          <w:szCs w:val="21"/>
          <w:bCs/>
          <w:rFonts w:ascii="宋体" w:hAnsi="宋体" w:eastAsia="宋体" w:hint="eastAsia"/>
        </w:rPr>
      </w:pPr>
      <w:r>
        <w:rPr>
          <w:b w:val="1"/>
          <w:color w:val="242424"/>
          <w:sz w:val="21"/>
          <w:lang w:eastAsia="zh-CN"/>
          <w:szCs w:val="21"/>
          <w:kern w:val="0"/>
          <w:bCs/>
          <w:rFonts w:ascii="宋体" w:hAnsi="宋体" w:eastAsia="宋体" w:hint="eastAsia"/>
        </w:rPr>
        <w:t xml:space="preserve">3、报价人根据竞价文件要求自行编制和上传有效的报价文件（应与纸质报价文件一致），应包含竞价文件要求的所有材料（不限于竞价文件提供的格式）。成交供应商在结果公示后应提交两份纸质报价文件领取成交通知书。</w:t>
      </w:r>
      <w:r>
        <w:rPr>
          <w:color w:val="242424"/>
          <w:sz w:val="21"/>
          <w:lang w:eastAsia="zh-CN"/>
          <w:szCs w:val="21"/>
          <w:rFonts w:ascii="宋体" w:hAnsi="宋体" w:eastAsia="宋体" w:hint="eastAsia"/>
        </w:rPr>
      </w:r>
    </w:p>
    <w:p>
      <w:pPr>
        <w:pStyle w:val="Normal"/>
        <w:widowControl w:val="1"/>
        <w:keepNext w:val="0"/>
        <w:keepLines w:val="0"/>
        <w:pageBreakBefore w:val="0"/>
        <w:wordWrap w:val="1"/>
        <w:overflowPunct w:val="1"/>
        <w:topLinePunct w:val="0"/>
        <w:kinsoku w:val="1"/>
        <w:autoSpaceDE w:val="1"/>
        <w:autoSpaceDN w:val="1"/>
        <w:bidi w:val="0"/>
        <w:snapToGrid w:val="1"/>
        <w:widowControl/>
        <w:spacing w:line="240" w:lineRule="auto"/>
        <w:ind w:firstLine="422" w:firstLineChars="200"/>
        <w:rPr>
          <w:b w:val="1"/>
          <w:color w:val="000000"/>
          <w:sz w:val="21"/>
          <w:szCs w:val="21"/>
          <w:kern w:val="0"/>
          <w:bCs/>
          <w:rFonts w:ascii="宋体" w:hAnsi="宋体" w:eastAsia="宋体" w:hint="eastAsia"/>
        </w:rPr>
      </w:pPr>
      <w:r>
        <w:rPr>
          <w:b w:val="1"/>
          <w:color w:val="242424"/>
          <w:sz w:val="21"/>
          <w:szCs w:val="21"/>
          <w:kern w:val="0"/>
          <w:bCs/>
          <w:rFonts w:ascii="宋体" w:hAnsi="宋体" w:eastAsia="宋体" w:hint="eastAsia"/>
        </w:rPr>
        <w:t>在网上竞价截止时间前电子报价文件应按上述要求上传相关材料，未按此要求的，将被视为无效报价文件。电子报价文档具法律效力。</w:t>
      </w:r>
    </w:p>
    <w:p>
      <w:pPr>
        <w:pStyle w:val="Normal"/>
        <w:widowControl w:val="1"/>
        <w:keepNext w:val="0"/>
        <w:keepLines w:val="0"/>
        <w:pageBreakBefore w:val="0"/>
        <w:wordWrap w:val="1"/>
        <w:overflowPunct w:val="1"/>
        <w:topLinePunct w:val="0"/>
        <w:kinsoku w:val="1"/>
        <w:autoSpaceDE w:val="1"/>
        <w:autoSpaceDN w:val="1"/>
        <w:bidi w:val="0"/>
        <w:snapToGrid w:val="1"/>
        <w:jc w:val="start"/>
        <w:widowControl/>
        <w:spacing w:line="240" w:lineRule="auto"/>
        <w:ind w:firstLine="422" w:firstLineChars="200"/>
        <w:rPr>
          <w:b w:val="1"/>
          <w:color w:val="000000"/>
          <w:sz w:val="21"/>
          <w:szCs w:val="21"/>
          <w:kern w:val="0"/>
          <w:bCs/>
          <w:rFonts w:ascii="宋体" w:hAnsi="宋体" w:eastAsia="宋体" w:hint="eastAsia"/>
        </w:rPr>
      </w:pPr>
      <w:r>
        <w:rPr>
          <w:b w:val="1"/>
          <w:color w:val="242424"/>
          <w:sz w:val="21"/>
          <w:szCs w:val="21"/>
          <w:kern w:val="0"/>
          <w:bCs/>
          <w:rFonts w:ascii="宋体" w:hAnsi="宋体" w:eastAsia="宋体" w:hint="eastAsia"/>
        </w:rPr>
        <w:t xml:space="preserve">在网上竞价截止时间前上传电子报价文件内容</w:t>
      </w:r>
      <w:r>
        <w:rPr>
          <w:color w:val="242424"/>
          <w:sz w:val="21"/>
          <w:szCs w:val="21"/>
          <w:rFonts w:ascii="宋体" w:hAnsi="宋体" w:eastAsia="宋体" w:hint="eastAsia"/>
        </w:rPr>
        <w:t>。</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lang w:eastAsia="zh-CN"/>
          <w:szCs w:val="21"/>
          <w:kern w:val="0"/>
          <w:rFonts w:ascii="宋体" w:hAnsi="宋体" w:eastAsia="宋体" w:hint="eastAsia"/>
        </w:rPr>
      </w:pPr>
      <w:r>
        <w:rPr>
          <w:b w:val="1"/>
          <w:color w:val="242424"/>
          <w:szCs w:val="21"/>
          <w:kern w:val="0"/>
          <w:rFonts w:ascii="宋体" w:hAnsi="宋体" w:eastAsia="宋体" w:hint="eastAsia"/>
        </w:rPr>
        <w:t>六、竞价准则</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kern w:val="0"/>
          <w:bCs/>
          <w:rFonts w:ascii="宋体" w:hAnsi="宋体" w:eastAsia="宋体" w:hint="eastAsia"/>
        </w:rPr>
        <w:t xml:space="preserve">1、采购代理机构将采购人提出的采购需求在中国政府采购网、福建盛鑫招标代理有限公司(http://www.fjsxzb .com)进行发布。网上竞价的</w:t>
      </w:r>
      <w:r>
        <w:rPr>
          <w:b w:val="1"/>
          <w:color w:val="242424"/>
          <w:lang w:val="en-US" w:eastAsia="zh-CN"/>
          <w:szCs w:val="21"/>
          <w:kern w:val="0"/>
          <w:bCs w:val="0"/>
          <w:rFonts w:ascii="宋体" w:hAnsi="宋体" w:eastAsia="宋体" w:hint="eastAsia"/>
        </w:rPr>
        <w:t xml:space="preserve">报价时限为2024年 8 月 26  日9:00-11:00（北京时间）</w:t>
      </w:r>
      <w:r>
        <w:rPr>
          <w:color w:val="242424"/>
          <w:lang w:eastAsia="zh-CN"/>
          <w:szCs w:val="21"/>
          <w:kern w:val="0"/>
          <w:bCs/>
          <w:rFonts w:ascii="宋体" w:hAnsi="宋体" w:eastAsia="宋体" w:hint="eastAsia"/>
        </w:rPr>
        <w:t>，在报价时限截止前，潜在竞价人可通过福建盛鑫招标代理有限公司官网网竞平台进行竞价。</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lang w:val="en-US" w:eastAsia="zh-CN"/>
          <w:szCs w:val="21"/>
          <w:kern w:val="0"/>
          <w:bCs/>
          <w:rFonts w:ascii="宋体" w:hAnsi="宋体" w:eastAsia="宋体" w:hint="eastAsia"/>
        </w:rPr>
      </w:pPr>
      <w:r>
        <w:rPr>
          <w:color w:val="242424"/>
          <w:lang w:val="en-US" w:eastAsia="zh-CN"/>
          <w:szCs w:val="21"/>
          <w:kern w:val="0"/>
          <w:bCs/>
          <w:rFonts w:ascii="宋体" w:hAnsi="宋体" w:eastAsia="宋体" w:hint="eastAsia"/>
        </w:rPr>
        <w:t xml:space="preserve">2、</w:t>
      </w:r>
      <w:r>
        <w:rPr>
          <w:b w:val="1"/>
          <w:color w:val="242424"/>
          <w:szCs w:val="21"/>
          <w:kern w:val="0"/>
          <w:bCs w:val="0"/>
          <w:rFonts w:ascii="宋体" w:hAnsi="宋体" w:eastAsia="宋体" w:hint="eastAsia"/>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lang w:val="en-US" w:eastAsia="zh-CN"/>
          <w:szCs w:val="21"/>
          <w:kern w:val="0"/>
          <w:bCs w:val="0"/>
          <w:rFonts w:ascii="宋体" w:hAnsi="宋体" w:eastAsia="宋体" w:hint="eastAsia"/>
        </w:rPr>
      </w:pPr>
      <w:r>
        <w:rPr>
          <w:b w:val="1"/>
          <w:color w:val="242424"/>
          <w:szCs w:val="21"/>
          <w:bCs w:val="0"/>
          <w:rFonts w:ascii="宋体" w:hAnsi="宋体" w:eastAsia="宋体" w:hint="eastAsia"/>
        </w:rPr>
        <w:t>3、竞价过程中，竞价人每次报价必须比自己上次的报价低。</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lang w:val="en-US" w:eastAsia="zh-CN"/>
          <w:szCs w:val="21"/>
          <w:kern w:val="0"/>
          <w:bCs w:val="0"/>
          <w:rFonts w:ascii="宋体" w:hAnsi="宋体" w:eastAsia="宋体" w:hint="eastAsia"/>
        </w:rPr>
      </w:pPr>
      <w:r>
        <w:rPr>
          <w:b w:val="1"/>
          <w:color w:val="242424"/>
          <w:szCs w:val="21"/>
          <w:bCs w:val="0"/>
          <w:rFonts w:ascii="宋体" w:hAnsi="宋体" w:eastAsia="宋体" w:hint="eastAsia"/>
        </w:rPr>
        <w:t>4、符合以上要求的报价，可以在规定的报价时限内不限次数报价，直到竞价截止时间为止。</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lang w:val="en-US" w:eastAsia="zh-CN"/>
          <w:szCs w:val="21"/>
          <w:kern w:val="0"/>
          <w:bCs/>
          <w:rFonts w:ascii="宋体" w:hAnsi="宋体" w:eastAsia="宋体" w:hint="eastAsia"/>
        </w:rPr>
      </w:pPr>
      <w:r>
        <w:rPr>
          <w:color w:val="242424"/>
          <w:szCs w:val="21"/>
          <w:kern w:val="0"/>
          <w:bCs/>
          <w:rFonts w:ascii="宋体" w:hAnsi="宋体" w:eastAsia="宋体" w:hint="eastAsia"/>
        </w:rPr>
        <w:t>5、最终有效报价确认办法</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kern w:val="0"/>
          <w:bCs/>
          <w:rFonts w:ascii="宋体" w:hAnsi="宋体" w:eastAsia="宋体" w:hint="eastAsia"/>
        </w:rPr>
        <w:t>（1）竞价结果在提交的报价文件全部满足竞价文件要求的前提下依据统一的价格要素评定最低报价,按价格最低者成交（报价相同者以时间先后顺序确定）确认。</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kern w:val="0"/>
          <w:bCs/>
          <w:rFonts w:ascii="宋体" w:hAnsi="宋体" w:eastAsia="宋体" w:hint="eastAsia"/>
        </w:rPr>
        <w:t>（2）算术错误将按以下方法更正：</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kern w:val="0"/>
          <w:bCs/>
          <w:rFonts w:ascii="宋体" w:hAnsi="宋体" w:eastAsia="宋体" w:hint="eastAsia"/>
        </w:rPr>
        <w:t>①竞价人在竞价平台提交的最后一次报价与竞价人最后一次上传的报价文件中的报价一览表总价不一致的，以竞价人在竞价平台提交的最后一次报价为准；</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kern w:val="0"/>
          <w:bCs/>
          <w:rFonts w:ascii="宋体" w:hAnsi="宋体" w:eastAsia="宋体" w:hint="eastAsia"/>
        </w:rPr>
        <w:t>②报价一览表中大写金额和小写金额不一致的，以大写金额为准；</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kern w:val="0"/>
          <w:bCs/>
          <w:rFonts w:ascii="宋体" w:hAnsi="宋体" w:eastAsia="宋体" w:hint="eastAsia"/>
        </w:rPr>
        <w:t>③报价一览表中单价金额小数点或百分比有明显错位的，以报价一览表的总价为准，并修改单价；</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kern w:val="0"/>
          <w:bCs/>
          <w:rFonts w:ascii="宋体" w:hAnsi="宋体" w:eastAsia="宋体" w:hint="eastAsia"/>
        </w:rPr>
        <w:t>④报价一览表中总价金额与按照单价汇总金额不一致的，以单价金额计算结果为准。</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rPr>
          <w:szCs w:val="21"/>
          <w:kern w:val="0"/>
          <w:bCs/>
          <w:rFonts w:ascii="宋体" w:hAnsi="宋体" w:eastAsia="宋体" w:hint="eastAsia"/>
        </w:rPr>
      </w:pPr>
      <w:r>
        <w:rPr>
          <w:color w:val="242424"/>
          <w:szCs w:val="21"/>
          <w:kern w:val="0"/>
          <w:bCs/>
          <w:rFonts w:ascii="宋体" w:hAnsi="宋体" w:eastAsia="宋体" w:hint="eastAsia"/>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kern w:val="0"/>
          <w:bCs/>
          <w:rFonts w:ascii="宋体" w:hAnsi="宋体" w:eastAsia="宋体" w:hint="eastAsia"/>
        </w:rPr>
        <w:t>5、竞价人应遵守采购相关法规，若竞价人违反规定，将按有关规定处理。</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bCs/>
          <w:rFonts w:ascii="宋体" w:hAnsi="宋体" w:eastAsia="宋体" w:hint="eastAsia"/>
        </w:rPr>
        <w:t>6、各竞价人的报价须符合《中华人民共和国政府采购法》第二条“采购，是指以合同方式有偿取得货物、工程和服务的行为，包括购买、租赁、委托、雇用等”的相关规定。</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bCs/>
          <w:rFonts w:ascii="宋体" w:hAnsi="宋体" w:eastAsia="宋体" w:hint="eastAsia"/>
        </w:rPr>
        <w:t>7、竞价人已详细审查全部竞价公告，包括修改竞价公告(如有的话)和有关附件，将自行承担因对全部竞价公告理解不正确或误解而产生的相应后果。</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0" w:firstLineChars="200"/>
        <w:rPr>
          <w:sz w:val="21"/>
          <w:szCs w:val="21"/>
          <w:kern w:val="0"/>
          <w:bCs/>
          <w:rFonts w:ascii="宋体" w:hAnsi="宋体" w:eastAsia="宋体" w:hint="eastAsia"/>
        </w:rPr>
      </w:pPr>
      <w:r>
        <w:rPr>
          <w:color w:val="242424"/>
          <w:sz w:val="21"/>
          <w:szCs w:val="21"/>
          <w:kern w:val="0"/>
          <w:bCs/>
          <w:rFonts w:ascii="宋体" w:hAnsi="宋体" w:eastAsia="宋体" w:hint="eastAsia"/>
        </w:rPr>
        <w:t>8、竞价人同意提供按照采购代理机构可能要求的与其竞价有关的一切数据或资料，完全理解采购代理机构不一定要接受最低的竞价。</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2" w:firstLineChars="200"/>
        <w:rPr>
          <w:b w:val="1"/>
          <w:color w:val="000000"/>
          <w:sz w:val="21"/>
          <w:lang w:eastAsia="zh-CN"/>
          <w:szCs w:val="21"/>
          <w:bCs/>
          <w:rFonts w:ascii="宋体" w:hAnsi="宋体" w:eastAsia="宋体" w:hint="eastAsia"/>
        </w:rPr>
      </w:pPr>
      <w:r>
        <w:rPr>
          <w:b w:val="1"/>
          <w:color w:val="242424"/>
          <w:sz w:val="21"/>
          <w:szCs w:val="21"/>
          <w:bCs/>
          <w:rFonts w:ascii="宋体" w:hAnsi="宋体" w:eastAsia="宋体" w:hint="eastAsia"/>
        </w:rPr>
        <w:t>七、竞价结果确认</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color w:val="000000"/>
          <w:sz w:val="21"/>
          <w:szCs w:val="21"/>
          <w:rFonts w:ascii="宋体" w:hAnsi="宋体" w:eastAsia="宋体" w:hint="eastAsia"/>
        </w:rPr>
      </w:pPr>
      <w:r>
        <w:rPr>
          <w:color w:val="242424"/>
          <w:sz w:val="21"/>
          <w:szCs w:val="21"/>
          <w:rFonts w:ascii="宋体" w:hAnsi="宋体" w:eastAsia="宋体" w:hint="eastAsia"/>
        </w:rPr>
        <w:t>  1、网上竞价公告期满，福建盛鑫招标代理有限公司以书面方式通知采购人。同时将成交结果信息在中国政府采购网(http://www.ccgp.gov.cn/)、福建盛鑫招标代理有限公司竞价平台（http://www.fjsxzb.com）上公告，公告期限为本公告之日起1个工作日。</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b w:val="1"/>
          <w:color w:val="000000"/>
          <w:sz w:val="21"/>
          <w:szCs w:val="21"/>
          <w:bCs/>
          <w:rFonts w:ascii="宋体" w:hAnsi="宋体" w:eastAsia="宋体" w:hint="eastAsia"/>
        </w:rPr>
      </w:pPr>
      <w:r>
        <w:rPr>
          <w:b w:val="1"/>
          <w:color w:val="242424"/>
          <w:sz w:val="21"/>
          <w:szCs w:val="21"/>
          <w:bCs/>
          <w:rFonts w:ascii="宋体" w:hAnsi="宋体" w:eastAsia="宋体" w:hint="eastAsia"/>
        </w:rPr>
        <w:t>  2、网上竞价公告期满，若无3家（含）报价人参与报价，或参与竞价的报价人报价不符合上述规定的，网上竞价无效。</w:t>
      </w:r>
    </w:p>
    <w:p>
      <w:pPr>
        <w:pStyle w:val="HtmlNormal"/>
        <w:keepNext w:val="0"/>
        <w:keepLines w:val="0"/>
        <w:pageBreakBefore w:val="0"/>
        <w:overflowPunct w:val="1"/>
        <w:topLinePunct w:val="0"/>
        <w:kinsoku w:val="1"/>
        <w:autoSpaceDE w:val="1"/>
        <w:autoSpaceDN w:val="1"/>
        <w:bidi w:val="0"/>
        <w:outlineLvl w:val="9"/>
        <w:spacing w:after="0" w:afterAutospacing="0" w:before="0" w:beforeAutospacing="0" w:line="240" w:lineRule="auto"/>
        <w:ind w:firstLine="422" w:firstLineChars="200"/>
        <w:rPr>
          <w:b w:val="1"/>
          <w:color w:val="000000"/>
          <w:sz w:val="21"/>
          <w:szCs w:val="21"/>
          <w:bCs/>
          <w:rFonts w:ascii="宋体" w:hAnsi="宋体" w:eastAsia="宋体" w:hint="eastAsia"/>
        </w:rPr>
      </w:pPr>
      <w:r>
        <w:rPr>
          <w:b w:val="1"/>
          <w:color w:val="242424"/>
          <w:sz w:val="21"/>
          <w:szCs w:val="21"/>
          <w:bCs/>
          <w:rFonts w:ascii="宋体" w:hAnsi="宋体" w:eastAsia="宋体" w:hint="eastAsia"/>
        </w:rPr>
        <w:t>3、采购单位在提出采购需求时若有指定品牌、型号的，须在采购单位指定的品牌、型号范围内选定，不符合规定的，网上竞价无效。</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1"/>
        <w:rPr>
          <w:b w:val="1"/>
          <w:color w:val="000000"/>
          <w:sz w:val="21"/>
          <w:szCs w:val="21"/>
          <w:bCs/>
          <w:rFonts w:ascii="宋体" w:hAnsi="宋体" w:eastAsia="宋体" w:hint="eastAsia"/>
        </w:rPr>
      </w:pPr>
      <w:r>
        <w:rPr>
          <w:b w:val="1"/>
          <w:color w:val="242424"/>
          <w:sz w:val="21"/>
          <w:szCs w:val="21"/>
          <w:bCs/>
          <w:rFonts w:ascii="宋体" w:hAnsi="宋体" w:eastAsia="宋体" w:hint="eastAsia"/>
        </w:rPr>
        <w:t xml:space="preserve">4、报名文件审核通过或是报价最低不作为最终成交的保证。</w:t>
      </w:r>
      <w:r>
        <w:rPr>
          <w:color w:val="242424"/>
          <w:sz w:val="21"/>
          <w:szCs w:val="21"/>
          <w:rFonts w:ascii="宋体" w:hAnsi="宋体" w:eastAsia="宋体" w:hint="eastAsia"/>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pStyle w:val="Normal"/>
        <w:jc w:val="start"/>
        <w:spacing w:line="240" w:lineRule="auto"/>
        <w:ind w:firstLine="420" w:firstLineChars="200"/>
        <w:rPr>
          <w:color w:val="000000"/>
          <w:lang w:val="en-US" w:eastAsia="zh-CN"/>
          <w:szCs w:val="21"/>
          <w:rFonts w:ascii="宋体" w:hAnsi="宋体" w:eastAsia="宋体" w:hint="eastAsia"/>
        </w:rPr>
      </w:pPr>
      <w:r>
        <w:rPr>
          <w:color w:val="242424"/>
          <w:lang w:val="en-US" w:eastAsia="zh-CN"/>
          <w:szCs w:val="21"/>
          <w:rFonts w:ascii="宋体" w:hAnsi="宋体" w:eastAsia="宋体" w:hint="eastAsia"/>
        </w:rPr>
        <w:t xml:space="preserve">5、</w:t>
      </w:r>
      <w:r>
        <w:rPr>
          <w:rStyle w:val="UserStyle_0"/>
          <w:color w:val="242424"/>
          <w:sz w:val="21"/>
          <w:szCs w:val="21"/>
          <w:kern w:val="0"/>
          <w:rFonts w:ascii="宋体" w:hAnsi="宋体" w:eastAsia="宋体" w:hint="eastAsia"/>
        </w:rPr>
        <w:t>有下列情形之一的，视为竞价人相互串通竞价，其竞价结果无效:</w:t>
      </w:r>
    </w:p>
    <w:p>
      <w:pPr>
        <w:pStyle w:val="Normal"/>
        <w:jc w:val="start"/>
        <w:spacing w:line="240" w:lineRule="auto"/>
        <w:ind w:firstLine="420" w:firstLineChars="200"/>
        <w:rPr>
          <w:rStyle w:val="UserStyle_0"/>
          <w:color w:val="000000"/>
          <w:sz w:val="21"/>
          <w:szCs w:val="21"/>
          <w:kern w:val="0"/>
          <w:rFonts w:ascii="宋体" w:hAnsi="宋体" w:eastAsia="宋体" w:hint="eastAsia"/>
        </w:rPr>
      </w:pPr>
      <w:r>
        <w:rPr>
          <w:rStyle w:val="UserStyle_0"/>
          <w:color w:val="242424"/>
          <w:sz w:val="21"/>
          <w:szCs w:val="21"/>
          <w:kern w:val="0"/>
          <w:rFonts w:ascii="宋体" w:hAnsi="宋体" w:eastAsia="宋体" w:hint="eastAsia"/>
        </w:rPr>
        <w:t>①不同竞价人的证明材料由同一单位或者个人编制;</w:t>
      </w:r>
    </w:p>
    <w:p>
      <w:pPr>
        <w:pStyle w:val="Normal"/>
        <w:jc w:val="start"/>
        <w:spacing w:line="240" w:lineRule="auto"/>
        <w:ind w:firstLine="420" w:firstLineChars="200"/>
        <w:rPr>
          <w:rStyle w:val="UserStyle_0"/>
          <w:color w:val="000000"/>
          <w:sz w:val="21"/>
          <w:szCs w:val="21"/>
          <w:kern w:val="0"/>
          <w:rFonts w:ascii="宋体" w:hAnsi="宋体" w:eastAsia="宋体" w:hint="eastAsia"/>
        </w:rPr>
      </w:pPr>
      <w:r>
        <w:rPr>
          <w:rStyle w:val="UserStyle_0"/>
          <w:color w:val="242424"/>
          <w:sz w:val="21"/>
          <w:szCs w:val="21"/>
          <w:kern w:val="0"/>
          <w:rFonts w:ascii="宋体" w:hAnsi="宋体" w:eastAsia="宋体" w:hint="eastAsia"/>
        </w:rPr>
        <w:t>②不同竞价人委托同一单位或者个人办理竞价事宜;</w:t>
      </w:r>
    </w:p>
    <w:p>
      <w:pPr>
        <w:pStyle w:val="Normal"/>
        <w:jc w:val="start"/>
        <w:spacing w:line="240" w:lineRule="auto"/>
        <w:ind w:firstLine="420" w:firstLineChars="200"/>
        <w:rPr>
          <w:rStyle w:val="UserStyle_0"/>
          <w:color w:val="000000"/>
          <w:sz w:val="21"/>
          <w:szCs w:val="21"/>
          <w:kern w:val="0"/>
          <w:rFonts w:ascii="宋体" w:hAnsi="宋体" w:eastAsia="宋体" w:hint="eastAsia"/>
        </w:rPr>
      </w:pPr>
      <w:r>
        <w:rPr>
          <w:rStyle w:val="UserStyle_0"/>
          <w:color w:val="242424"/>
          <w:sz w:val="21"/>
          <w:szCs w:val="21"/>
          <w:kern w:val="0"/>
          <w:rFonts w:ascii="宋体" w:hAnsi="宋体" w:eastAsia="宋体" w:hint="eastAsia"/>
        </w:rPr>
        <w:t>③不同竞价人的证明材料载明的项目管理成员为同一人;</w:t>
      </w:r>
    </w:p>
    <w:p>
      <w:pPr>
        <w:pStyle w:val="Normal"/>
        <w:jc w:val="start"/>
        <w:spacing w:line="240" w:lineRule="auto"/>
        <w:ind w:firstLine="420" w:firstLineChars="200"/>
        <w:rPr>
          <w:rStyle w:val="UserStyle_0"/>
          <w:color w:val="000000"/>
          <w:sz w:val="21"/>
          <w:szCs w:val="21"/>
          <w:kern w:val="0"/>
          <w:rFonts w:ascii="宋体" w:hAnsi="宋体" w:eastAsia="宋体" w:hint="eastAsia"/>
        </w:rPr>
      </w:pPr>
      <w:r>
        <w:rPr>
          <w:rStyle w:val="UserStyle_0"/>
          <w:color w:val="242424"/>
          <w:sz w:val="21"/>
          <w:szCs w:val="21"/>
          <w:kern w:val="0"/>
          <w:rFonts w:ascii="宋体" w:hAnsi="宋体" w:eastAsia="宋体" w:hint="eastAsia"/>
        </w:rPr>
        <w:t xml:space="preserve">④不同竞价人的报价呈规律性差异。</w:t>
      </w:r>
      <w:r>
        <w:rPr>
          <w:color w:val="242424"/>
          <w:lang w:val="en-US" w:eastAsia="zh-CN"/>
          <w:szCs w:val="21"/>
          <w:rFonts w:ascii="宋体" w:hAnsi="宋体" w:eastAsia="宋体" w:hint="eastAsia"/>
        </w:rPr>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2" w:firstLineChars="200"/>
        <w:rPr>
          <w:b w:val="1"/>
          <w:color w:val="000000"/>
          <w:sz w:val="21"/>
          <w:lang w:val="en-US" w:eastAsia="zh-CN"/>
          <w:szCs w:val="21"/>
          <w:bCs/>
          <w:rFonts w:ascii="宋体" w:hAnsi="宋体" w:eastAsia="宋体" w:hint="eastAsia"/>
        </w:rPr>
      </w:pPr>
      <w:r>
        <w:rPr>
          <w:b w:val="1"/>
          <w:color w:val="242424"/>
          <w:sz w:val="21"/>
          <w:szCs w:val="21"/>
          <w:bCs/>
          <w:rFonts w:ascii="宋体" w:hAnsi="宋体" w:eastAsia="宋体" w:hint="eastAsia"/>
        </w:rPr>
        <w:t>八、竞价报价偏差</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color w:val="000000"/>
          <w:sz w:val="21"/>
          <w:szCs w:val="21"/>
          <w:rFonts w:ascii="宋体" w:hAnsi="宋体" w:eastAsia="宋体" w:hint="eastAsia"/>
        </w:rPr>
      </w:pPr>
      <w:r>
        <w:rPr>
          <w:color w:val="242424"/>
          <w:sz w:val="21"/>
          <w:szCs w:val="21"/>
          <w:rFonts w:ascii="宋体" w:hAnsi="宋体" w:eastAsia="宋体" w:hint="eastAsia"/>
        </w:rPr>
        <w:t>  1、重大偏差。下列情况属于重大偏差：</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color w:val="000000"/>
          <w:sz w:val="21"/>
          <w:szCs w:val="21"/>
          <w:rFonts w:ascii="宋体" w:hAnsi="宋体" w:eastAsia="宋体" w:hint="eastAsia"/>
        </w:rPr>
      </w:pPr>
      <w:r>
        <w:rPr>
          <w:color w:val="242424"/>
          <w:sz w:val="21"/>
          <w:szCs w:val="21"/>
          <w:rFonts w:ascii="宋体" w:hAnsi="宋体" w:eastAsia="宋体" w:hint="eastAsia"/>
        </w:rPr>
        <w:t> （1）报价文件未按竞价文件要求加盖公章并由法定代表人或其书面授权的代理人签字的；</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color w:val="000000"/>
          <w:sz w:val="21"/>
          <w:szCs w:val="21"/>
          <w:rFonts w:ascii="宋体" w:hAnsi="宋体" w:eastAsia="宋体" w:hint="eastAsia"/>
        </w:rPr>
      </w:pPr>
      <w:r>
        <w:rPr>
          <w:color w:val="242424"/>
          <w:sz w:val="21"/>
          <w:szCs w:val="21"/>
          <w:rFonts w:ascii="宋体" w:hAnsi="宋体" w:eastAsia="宋体" w:hint="eastAsia"/>
        </w:rPr>
        <w:t> （2）报价文件载明的竞价项目完成期限超过竞价文件规定的；</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color w:val="000000"/>
          <w:sz w:val="21"/>
          <w:szCs w:val="21"/>
          <w:rFonts w:ascii="宋体" w:hAnsi="宋体" w:eastAsia="宋体" w:hint="eastAsia"/>
        </w:rPr>
      </w:pPr>
      <w:r>
        <w:rPr>
          <w:color w:val="242424"/>
          <w:sz w:val="21"/>
          <w:szCs w:val="21"/>
          <w:rFonts w:ascii="宋体" w:hAnsi="宋体" w:eastAsia="宋体" w:hint="eastAsia"/>
        </w:rPr>
        <w:t> （3）不符合技术规格、技术标准的要求；</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210" w:firstLineChars="100"/>
        <w:rPr>
          <w:color w:val="000000"/>
          <w:sz w:val="21"/>
          <w:szCs w:val="21"/>
          <w:rFonts w:ascii="宋体" w:hAnsi="宋体" w:eastAsia="宋体" w:hint="eastAsia"/>
        </w:rPr>
      </w:pPr>
      <w:r>
        <w:rPr>
          <w:color w:val="242424"/>
          <w:sz w:val="21"/>
          <w:szCs w:val="21"/>
          <w:rFonts w:ascii="宋体" w:hAnsi="宋体" w:eastAsia="宋体" w:hint="eastAsia"/>
        </w:rPr>
        <w:t>（4）不符合服务和商务（售后）要求；</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210" w:firstLineChars="100"/>
        <w:rPr>
          <w:color w:val="000000"/>
          <w:sz w:val="21"/>
          <w:szCs w:val="21"/>
          <w:rFonts w:ascii="宋体" w:hAnsi="宋体" w:eastAsia="宋体" w:hint="eastAsia"/>
        </w:rPr>
      </w:pPr>
      <w:r>
        <w:rPr>
          <w:color w:val="242424"/>
          <w:sz w:val="21"/>
          <w:szCs w:val="21"/>
          <w:rFonts w:ascii="宋体" w:hAnsi="宋体" w:eastAsia="宋体" w:hint="eastAsia"/>
        </w:rPr>
        <w:t>（5）报价文件附有采购人不能接受的条件；</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color w:val="000000"/>
          <w:sz w:val="21"/>
          <w:szCs w:val="21"/>
          <w:rFonts w:ascii="宋体" w:hAnsi="宋体" w:eastAsia="宋体" w:hint="eastAsia"/>
        </w:rPr>
      </w:pPr>
      <w:r>
        <w:rPr>
          <w:color w:val="242424"/>
          <w:sz w:val="21"/>
          <w:szCs w:val="21"/>
          <w:rFonts w:ascii="宋体" w:hAnsi="宋体" w:eastAsia="宋体" w:hint="eastAsia"/>
        </w:rPr>
        <w:t> （6）不符合竞价文件中规定的其他实质性要求。</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0" w:firstLineChars="200"/>
        <w:rPr>
          <w:color w:val="000000"/>
          <w:sz w:val="21"/>
          <w:szCs w:val="21"/>
          <w:rFonts w:ascii="宋体" w:hAnsi="宋体" w:eastAsia="宋体" w:hint="eastAsia"/>
        </w:rPr>
      </w:pPr>
      <w:r>
        <w:rPr>
          <w:color w:val="242424"/>
          <w:sz w:val="21"/>
          <w:szCs w:val="21"/>
          <w:rFonts w:ascii="宋体" w:hAnsi="宋体" w:eastAsia="宋体" w:hint="eastAsia"/>
        </w:rPr>
        <w:t xml:space="preserve">报价文件有上述情形之一的，认定为未对竞价文件作出实质性响应，</w:t>
      </w:r>
      <w:r>
        <w:rPr>
          <w:b w:val="1"/>
          <w:color w:val="242424"/>
          <w:sz w:val="21"/>
          <w:szCs w:val="21"/>
          <w:bCs/>
          <w:rFonts w:ascii="宋体" w:hAnsi="宋体" w:eastAsia="宋体" w:hint="eastAsia"/>
        </w:rPr>
        <w:t xml:space="preserve">作无效报价处理</w:t>
      </w:r>
      <w:r>
        <w:rPr>
          <w:color w:val="242424"/>
          <w:sz w:val="21"/>
          <w:szCs w:val="21"/>
          <w:rFonts w:ascii="宋体" w:hAnsi="宋体" w:eastAsia="宋体" w:hint="eastAsia"/>
        </w:rPr>
        <w:t>。</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color w:val="000000"/>
          <w:sz w:val="21"/>
          <w:szCs w:val="21"/>
          <w:rFonts w:ascii="宋体" w:hAnsi="宋体" w:eastAsia="宋体" w:hint="eastAsia"/>
        </w:rPr>
      </w:pPr>
      <w:r>
        <w:rPr>
          <w:color w:val="242424"/>
          <w:sz w:val="21"/>
          <w:szCs w:val="21"/>
          <w:rFonts w:ascii="宋体" w:hAnsi="宋体" w:eastAsia="宋体" w:hint="eastAsia"/>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rPr>
          <w:color w:val="000000"/>
          <w:sz w:val="21"/>
          <w:szCs w:val="21"/>
          <w:rFonts w:ascii="宋体" w:hAnsi="宋体" w:eastAsia="宋体" w:hint="eastAsia"/>
        </w:rPr>
      </w:pPr>
      <w:r>
        <w:rPr>
          <w:color w:val="242424"/>
          <w:sz w:val="21"/>
          <w:szCs w:val="21"/>
          <w:rFonts w:ascii="宋体" w:hAnsi="宋体" w:eastAsia="宋体" w:hint="eastAsia"/>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210" w:firstLineChars="100"/>
        <w:rPr>
          <w:color w:val="000000"/>
          <w:sz w:val="21"/>
          <w:szCs w:val="21"/>
          <w:rFonts w:ascii="宋体" w:hAnsi="宋体" w:eastAsia="宋体" w:hint="eastAsia"/>
        </w:rPr>
      </w:pPr>
      <w:r>
        <w:rPr>
          <w:color w:val="242424"/>
          <w:sz w:val="21"/>
          <w:szCs w:val="21"/>
          <w:rFonts w:ascii="宋体" w:hAnsi="宋体" w:eastAsia="宋体" w:hint="eastAsia"/>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color w:val="000000"/>
          <w:lang w:eastAsia="zh-CN"/>
          <w:szCs w:val="21"/>
          <w:kern w:val="0"/>
          <w:bCs w:val="0"/>
          <w:rFonts w:ascii="宋体" w:hAnsi="宋体" w:eastAsia="宋体" w:hint="eastAsia"/>
        </w:rPr>
      </w:pPr>
      <w:r>
        <w:rPr>
          <w:b w:val="1"/>
          <w:color w:val="242424"/>
          <w:szCs w:val="21"/>
          <w:kern w:val="0"/>
          <w:bCs w:val="0"/>
          <w:rFonts w:ascii="宋体" w:hAnsi="宋体" w:eastAsia="宋体" w:hint="eastAsia"/>
        </w:rPr>
        <w:t xml:space="preserve">九、竞价保证金</w:t>
      </w:r>
      <w:r>
        <w:rPr>
          <w:color w:val="242424"/>
          <w:szCs w:val="21"/>
          <w:kern w:val="0"/>
          <w:bCs/>
          <w:rFonts w:ascii="宋体" w:hAnsi="宋体" w:eastAsia="宋体" w:hint="eastAsia"/>
        </w:rPr>
        <w:t>：</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color w:val="000000"/>
          <w:lang w:val="en-US" w:eastAsia="zh-CN"/>
          <w:szCs w:val="21"/>
          <w:kern w:val="0"/>
          <w:bCs/>
          <w:rFonts w:ascii="宋体" w:hAnsi="宋体" w:eastAsia="宋体" w:hint="eastAsia"/>
        </w:rPr>
      </w:pPr>
      <w:r>
        <w:rPr>
          <w:color w:val="242424"/>
          <w:lang w:val="en-US" w:eastAsia="zh-CN"/>
          <w:szCs w:val="21"/>
          <w:kern w:val="0"/>
          <w:bCs/>
          <w:rFonts w:ascii="宋体" w:hAnsi="宋体" w:eastAsia="宋体" w:hint="eastAsia"/>
        </w:rPr>
        <w:t xml:space="preserve">1、本次</w:t>
      </w:r>
      <w:r>
        <w:rPr>
          <w:b w:val="1"/>
          <w:color w:val="242424"/>
          <w:szCs w:val="21"/>
          <w:kern w:val="0"/>
          <w:bCs w:val="0"/>
          <w:rFonts w:ascii="宋体" w:hAnsi="宋体" w:eastAsia="宋体" w:hint="eastAsia"/>
        </w:rPr>
        <w:t xml:space="preserve">竞价保证金人民币2000元整</w:t>
      </w:r>
      <w:r>
        <w:rPr>
          <w:color w:val="242424"/>
          <w:szCs w:val="21"/>
          <w:kern w:val="0"/>
          <w:bCs/>
          <w:rFonts w:ascii="宋体" w:hAnsi="宋体" w:eastAsia="宋体" w:hint="eastAsia"/>
        </w:rPr>
        <w:t xml:space="preserve">，以银行转账、电汇等非现金形式提交(不接受现金、现金存款形式提交)；竞价保证金不是以竞价人名义提交的，将导致其竞价资格被拒绝。</w:t>
      </w:r>
      <w:r>
        <w:rPr>
          <w:b w:val="1"/>
          <w:color w:val="242424"/>
          <w:szCs w:val="21"/>
          <w:kern w:val="0"/>
          <w:rFonts w:ascii="宋体" w:hAnsi="宋体" w:eastAsia="宋体" w:hint="eastAsia"/>
        </w:rPr>
        <w:t>竞价人的竞价保证金未在竞价截止时间前一个工作日到达指定账户的将导致其竞价资格被拒绝。</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szCs w:val="21"/>
          <w:bCs/>
          <w:rFonts w:ascii="宋体" w:hAnsi="宋体" w:eastAsia="宋体" w:hint="eastAsia"/>
        </w:rPr>
      </w:pPr>
      <w:r>
        <w:rPr>
          <w:b w:val="1"/>
          <w:color w:val="242424"/>
          <w:szCs w:val="21"/>
          <w:bCs/>
          <w:rFonts w:ascii="宋体" w:hAnsi="宋体" w:eastAsia="宋体" w:hint="eastAsia"/>
        </w:rPr>
        <w:t>缴纳保证金账户信息：</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szCs w:val="21"/>
          <w:bCs/>
          <w:rFonts w:ascii="宋体" w:hAnsi="宋体" w:eastAsia="宋体" w:hint="eastAsia"/>
        </w:rPr>
      </w:pPr>
      <w:r>
        <w:rPr>
          <w:b w:val="1"/>
          <w:color w:val="242424"/>
          <w:szCs w:val="21"/>
          <w:bCs/>
          <w:rFonts w:ascii="宋体" w:hAnsi="宋体" w:eastAsia="宋体" w:hint="eastAsia"/>
        </w:rPr>
        <w:t>开户名：福建盛鑫招标代理有限公司</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szCs w:val="21"/>
          <w:bCs/>
          <w:rFonts w:ascii="宋体" w:hAnsi="宋体" w:eastAsia="宋体" w:hint="eastAsia"/>
        </w:rPr>
      </w:pPr>
      <w:r>
        <w:rPr>
          <w:b w:val="1"/>
          <w:color w:val="242424"/>
          <w:szCs w:val="21"/>
          <w:bCs/>
          <w:rFonts w:ascii="宋体" w:hAnsi="宋体" w:eastAsia="宋体" w:hint="eastAsia"/>
        </w:rPr>
        <w:t>开 户 行：中信银行福州分行</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szCs w:val="21"/>
          <w:bCs/>
          <w:rFonts w:ascii="宋体" w:hAnsi="宋体" w:eastAsia="宋体" w:hint="eastAsia"/>
        </w:rPr>
      </w:pPr>
      <w:r>
        <w:rPr>
          <w:b w:val="1"/>
          <w:color w:val="242424"/>
          <w:szCs w:val="21"/>
          <w:bCs/>
          <w:rFonts w:ascii="宋体" w:hAnsi="宋体" w:eastAsia="宋体" w:hint="eastAsia"/>
        </w:rPr>
        <w:t xml:space="preserve">账 号：  7341 0101 826 0022 7015 </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0" w:firstLineChars="200"/>
        <w:rPr>
          <w:szCs w:val="21"/>
          <w:kern w:val="0"/>
          <w:bCs/>
          <w:rFonts w:ascii="宋体" w:hAnsi="宋体" w:eastAsia="宋体" w:hint="eastAsia"/>
        </w:rPr>
      </w:pPr>
      <w:r>
        <w:rPr>
          <w:color w:val="242424"/>
          <w:szCs w:val="21"/>
          <w:kern w:val="0"/>
          <w:bCs/>
          <w:rFonts w:ascii="宋体" w:hAnsi="宋体" w:eastAsia="宋体" w:hint="eastAsia"/>
        </w:rPr>
        <w:t>2、未成交的竞价人，在竞价结果公告发布1个工作日后即可申请无息退回，成交供应商在向采购代理机构提供采购合同后可申请无息退回。</w:t>
      </w:r>
    </w:p>
    <w:p>
      <w:pPr>
        <w:pStyle w:val="Normal"/>
        <w:keepNext w:val="0"/>
        <w:keepLines w:val="0"/>
        <w:pageBreakBefore w:val="0"/>
        <w:overflowPunct w:val="1"/>
        <w:topLinePunct w:val="0"/>
        <w:kinsoku w:val="1"/>
        <w:autoSpaceDE w:val="1"/>
        <w:autoSpaceDN w:val="1"/>
        <w:bidi w:val="0"/>
        <w:jc w:val="start"/>
        <w:outlineLvl w:val="9"/>
        <w:spacing w:line="360" w:lineRule="exact"/>
        <w:ind w:firstLine="422" w:firstLineChars="200"/>
        <w:rPr>
          <w:b w:val="1"/>
          <w:lang w:eastAsia="zh-CN"/>
          <w:szCs w:val="21"/>
          <w:kern w:val="0"/>
          <w:rFonts w:ascii="宋体" w:hAnsi="宋体" w:eastAsia="宋体" w:hint="eastAsia"/>
        </w:rPr>
      </w:pPr>
      <w:r>
        <w:rPr>
          <w:b w:val="1"/>
          <w:color w:val="242424"/>
          <w:lang w:eastAsia="zh-CN"/>
          <w:szCs w:val="21"/>
          <w:kern w:val="0"/>
          <w:rFonts w:ascii="宋体" w:hAnsi="宋体" w:eastAsia="宋体" w:hint="eastAsia"/>
        </w:rPr>
        <w:t>十、代理服务费</w:t>
      </w:r>
    </w:p>
    <w:p>
      <w:pPr>
        <w:pStyle w:val="Normal"/>
        <w:keepNext w:val="0"/>
        <w:keepLines w:val="0"/>
        <w:pageBreakBefore w:val="0"/>
        <w:overflowPunct w:val="1"/>
        <w:topLinePunct w:val="0"/>
        <w:kinsoku w:val="1"/>
        <w:autoSpaceDE w:val="1"/>
        <w:autoSpaceDN w:val="1"/>
        <w:bidi w:val="0"/>
        <w:jc w:val="start"/>
        <w:outlineLvl w:val="9"/>
        <w:spacing w:line="360" w:lineRule="exact"/>
        <w:ind w:firstLine="420" w:firstLineChars="200"/>
        <w:rPr>
          <w:b w:val="0"/>
          <w:lang w:eastAsia="zh-CN"/>
          <w:szCs w:val="21"/>
          <w:kern w:val="0"/>
          <w:bCs/>
          <w:rFonts w:ascii="宋体" w:hAnsi="宋体" w:eastAsia="宋体" w:hint="eastAsia"/>
        </w:rPr>
      </w:pPr>
      <w:r>
        <w:rPr>
          <w:b w:val="0"/>
          <w:color w:val="242424"/>
          <w:lang w:eastAsia="zh-CN"/>
          <w:szCs w:val="21"/>
          <w:kern w:val="0"/>
          <w:bCs/>
          <w:rFonts w:ascii="宋体" w:hAnsi="宋体" w:eastAsia="宋体" w:hint="eastAsia"/>
        </w:rPr>
        <w:t>1、本项目代理服务费：本项目招标代理服务费由成交人支付，招标代理服务费按成交金额进行计算，收费比例1.5%。</w:t>
      </w:r>
    </w:p>
    <w:p>
      <w:pPr>
        <w:pStyle w:val="Normal"/>
        <w:keepNext w:val="0"/>
        <w:keepLines w:val="0"/>
        <w:pageBreakBefore w:val="0"/>
        <w:overflowPunct w:val="1"/>
        <w:topLinePunct w:val="0"/>
        <w:kinsoku w:val="1"/>
        <w:autoSpaceDE w:val="1"/>
        <w:autoSpaceDN w:val="1"/>
        <w:bidi w:val="0"/>
        <w:jc w:val="start"/>
        <w:outlineLvl w:val="9"/>
        <w:spacing w:line="360" w:lineRule="exact"/>
        <w:ind w:firstLine="420" w:firstLineChars="200"/>
        <w:rPr>
          <w:b w:val="0"/>
          <w:lang w:eastAsia="zh-CN"/>
          <w:szCs w:val="21"/>
          <w:kern w:val="0"/>
          <w:bCs/>
          <w:rFonts w:ascii="宋体" w:hAnsi="宋体" w:eastAsia="宋体" w:hint="eastAsia"/>
        </w:rPr>
      </w:pPr>
      <w:r>
        <w:rPr>
          <w:b w:val="0"/>
          <w:color w:val="242424"/>
          <w:lang w:eastAsia="zh-CN"/>
          <w:szCs w:val="21"/>
          <w:kern w:val="0"/>
          <w:bCs/>
          <w:rFonts w:ascii="宋体" w:hAnsi="宋体" w:eastAsia="宋体" w:hint="eastAsia"/>
        </w:rPr>
        <w:t>2、代理服务费的缴纳方式：</w:t>
      </w:r>
    </w:p>
    <w:p>
      <w:pPr>
        <w:pStyle w:val="Normal"/>
        <w:keepNext w:val="0"/>
        <w:keepLines w:val="0"/>
        <w:pageBreakBefore w:val="0"/>
        <w:overflowPunct w:val="1"/>
        <w:topLinePunct w:val="0"/>
        <w:kinsoku w:val="1"/>
        <w:autoSpaceDE w:val="1"/>
        <w:autoSpaceDN w:val="1"/>
        <w:bidi w:val="0"/>
        <w:jc w:val="start"/>
        <w:outlineLvl w:val="9"/>
        <w:spacing w:line="360" w:lineRule="exact"/>
        <w:ind w:firstLine="420" w:firstLineChars="200"/>
        <w:rPr>
          <w:b w:val="0"/>
          <w:lang w:eastAsia="zh-CN"/>
          <w:szCs w:val="21"/>
          <w:kern w:val="0"/>
          <w:bCs/>
          <w:rFonts w:ascii="宋体" w:hAnsi="宋体" w:eastAsia="宋体" w:hint="eastAsia"/>
        </w:rPr>
      </w:pPr>
      <w:r>
        <w:rPr>
          <w:b w:val="0"/>
          <w:color w:val="242424"/>
          <w:lang w:eastAsia="zh-CN"/>
          <w:szCs w:val="21"/>
          <w:kern w:val="0"/>
          <w:bCs/>
          <w:rFonts w:ascii="宋体" w:hAnsi="宋体" w:eastAsia="宋体" w:hint="eastAsia"/>
        </w:rPr>
        <w:t>1）成交人应在领取成交通知书的同时按规定的标准一次性向采购代理机构缴清代理服务费。</w:t>
      </w:r>
    </w:p>
    <w:p>
      <w:pPr>
        <w:pStyle w:val="Normal"/>
        <w:keepNext w:val="0"/>
        <w:keepLines w:val="0"/>
        <w:pageBreakBefore w:val="0"/>
        <w:overflowPunct w:val="1"/>
        <w:topLinePunct w:val="0"/>
        <w:kinsoku w:val="1"/>
        <w:autoSpaceDE w:val="1"/>
        <w:autoSpaceDN w:val="1"/>
        <w:bidi w:val="0"/>
        <w:jc w:val="start"/>
        <w:outlineLvl w:val="9"/>
        <w:spacing w:line="360" w:lineRule="exact"/>
        <w:ind w:firstLine="420" w:firstLineChars="200"/>
        <w:rPr>
          <w:b w:val="0"/>
          <w:lang w:eastAsia="zh-CN"/>
          <w:szCs w:val="21"/>
          <w:kern w:val="0"/>
          <w:bCs/>
          <w:rFonts w:ascii="宋体" w:hAnsi="宋体" w:eastAsia="宋体" w:hint="eastAsia"/>
        </w:rPr>
      </w:pPr>
      <w:r>
        <w:rPr>
          <w:b w:val="0"/>
          <w:color w:val="242424"/>
          <w:lang w:eastAsia="zh-CN"/>
          <w:szCs w:val="21"/>
          <w:kern w:val="0"/>
          <w:bCs/>
          <w:rFonts w:ascii="宋体" w:hAnsi="宋体" w:eastAsia="宋体" w:hint="eastAsia"/>
        </w:rPr>
        <w:t>2）代理服务费以银行转账方式交纳。</w:t>
      </w:r>
    </w:p>
    <w:p>
      <w:pPr>
        <w:pStyle w:val="Normal"/>
        <w:keepNext w:val="0"/>
        <w:keepLines w:val="0"/>
        <w:pageBreakBefore w:val="0"/>
        <w:overflowPunct w:val="1"/>
        <w:topLinePunct w:val="0"/>
        <w:kinsoku w:val="1"/>
        <w:autoSpaceDE w:val="1"/>
        <w:autoSpaceDN w:val="1"/>
        <w:bidi w:val="0"/>
        <w:jc w:val="start"/>
        <w:outlineLvl w:val="9"/>
        <w:spacing w:line="360" w:lineRule="exact"/>
        <w:ind w:firstLine="420" w:firstLineChars="200"/>
        <w:rPr>
          <w:b w:val="0"/>
          <w:lang w:eastAsia="zh-CN"/>
          <w:szCs w:val="21"/>
          <w:kern w:val="0"/>
          <w:bCs/>
          <w:rFonts w:ascii="宋体" w:hAnsi="宋体" w:eastAsia="宋体" w:hint="eastAsia"/>
        </w:rPr>
      </w:pPr>
      <w:r>
        <w:rPr>
          <w:b w:val="0"/>
          <w:color w:val="242424"/>
          <w:lang w:eastAsia="zh-CN"/>
          <w:szCs w:val="21"/>
          <w:kern w:val="0"/>
          <w:bCs/>
          <w:rFonts w:ascii="宋体" w:hAnsi="宋体" w:eastAsia="宋体" w:hint="eastAsia"/>
        </w:rPr>
        <w:t>3、代理服务费缴交账号：</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szCs w:val="21"/>
          <w:bCs/>
          <w:rFonts w:ascii="宋体" w:hAnsi="宋体" w:eastAsia="宋体" w:hint="eastAsia"/>
        </w:rPr>
      </w:pPr>
      <w:r>
        <w:rPr>
          <w:b w:val="1"/>
          <w:color w:val="242424"/>
          <w:szCs w:val="21"/>
          <w:bCs/>
          <w:rFonts w:ascii="宋体" w:hAnsi="宋体" w:eastAsia="宋体" w:hint="eastAsia"/>
        </w:rPr>
        <w:t>开户名：福建盛鑫招标代理有限公司</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szCs w:val="21"/>
          <w:bCs/>
          <w:rFonts w:ascii="宋体" w:hAnsi="宋体" w:eastAsia="宋体" w:hint="eastAsia"/>
        </w:rPr>
      </w:pPr>
      <w:r>
        <w:rPr>
          <w:b w:val="1"/>
          <w:color w:val="242424"/>
          <w:szCs w:val="21"/>
          <w:bCs/>
          <w:rFonts w:ascii="宋体" w:hAnsi="宋体" w:eastAsia="宋体" w:hint="eastAsia"/>
        </w:rPr>
        <w:t>开 户 行：中信银行福州分行</w:t>
      </w:r>
    </w:p>
    <w:p>
      <w:pPr>
        <w:pStyle w:val="Normal"/>
        <w:widowControl w:val="1"/>
        <w:keepNext w:val="0"/>
        <w:keepLines w:val="0"/>
        <w:pageBreakBefore w:val="0"/>
        <w:overflowPunct w:val="1"/>
        <w:topLinePunct w:val="0"/>
        <w:kinsoku w:val="1"/>
        <w:autoSpaceDE w:val="1"/>
        <w:autoSpaceDN w:val="1"/>
        <w:bidi w:val="0"/>
        <w:jc w:val="start"/>
        <w:widowControl/>
        <w:outlineLvl w:val="9"/>
        <w:spacing w:line="360" w:lineRule="exact"/>
        <w:ind w:firstLine="422" w:firstLineChars="200"/>
        <w:rPr>
          <w:b w:val="1"/>
          <w:szCs w:val="21"/>
          <w:bCs/>
          <w:rFonts w:ascii="宋体" w:hAnsi="宋体" w:eastAsia="宋体" w:hint="eastAsia"/>
        </w:rPr>
      </w:pPr>
      <w:r>
        <w:rPr>
          <w:b w:val="1"/>
          <w:color w:val="242424"/>
          <w:szCs w:val="21"/>
          <w:bCs/>
          <w:rFonts w:ascii="宋体" w:hAnsi="宋体" w:eastAsia="宋体" w:hint="eastAsia"/>
        </w:rPr>
        <w:t xml:space="preserve">账 号：  7341 0101 826 0022 7015 </w:t>
      </w:r>
    </w:p>
    <w:p>
      <w:pPr>
        <w:pStyle w:val="Normal"/>
        <w:widowControl w:val="0"/>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482"/>
        <w:rPr>
          <w:b w:val="1"/>
          <w:sz w:val="21"/>
          <w:lang w:eastAsia="zh-CN"/>
          <w:szCs w:val="21"/>
          <w:kern w:val="0"/>
          <w:bCs/>
          <w:rFonts w:ascii="宋体" w:hAnsi="宋体" w:eastAsia="宋体" w:hint="eastAsia"/>
        </w:rPr>
      </w:pPr>
      <w:r>
        <w:rPr>
          <w:b w:val="1"/>
          <w:color w:val="242424"/>
          <w:sz w:val="21"/>
          <w:lang w:eastAsia="zh-CN"/>
          <w:szCs w:val="21"/>
          <w:kern w:val="0"/>
          <w:bCs/>
          <w:rFonts w:ascii="宋体" w:hAnsi="宋体" w:eastAsia="宋体" w:hint="eastAsia"/>
        </w:rPr>
      </w:r>
    </w:p>
    <w:p>
      <w:pPr>
        <w:pStyle w:val="Normal"/>
        <w:widowControl w:val="0"/>
        <w:keepNext w:val="0"/>
        <w:keepLines w:val="0"/>
        <w:pageBreakBefore w:val="0"/>
        <w:wordWrap w:val="1"/>
        <w:overflowPunct w:val="1"/>
        <w:topLinePunct w:val="0"/>
        <w:kinsoku w:val="1"/>
        <w:autoSpaceDE w:val="1"/>
        <w:autoSpaceDN w:val="1"/>
        <w:bidi w:val="0"/>
        <w:snapToGrid w:val="1"/>
        <w:jc w:val="center"/>
        <w:widowControl w:val="off"/>
        <w:outlineLvl w:val="0"/>
        <w:spacing w:line="240" w:lineRule="auto"/>
        <w:ind w:firstLine="482"/>
        <w:rPr>
          <w:b w:val="1"/>
          <w:sz w:val="21"/>
          <w:lang w:eastAsia="zh-CN"/>
          <w:szCs w:val="21"/>
          <w:kern w:val="0"/>
          <w:bCs/>
          <w:rFonts w:ascii="宋体" w:hAnsi="宋体" w:eastAsia="宋体" w:hint="eastAsia"/>
        </w:rPr>
      </w:pPr>
      <w:bookmarkStart w:name="_Toc19561" w:id="13"/>
      <w:bookmarkEnd w:id="13"/>
      <w:r>
        <w:br w:type="page"/>
        <w:rPr>
          <w:b w:val="1"/>
          <w:color w:val="242424"/>
          <w:sz w:val="21"/>
          <w:lang w:eastAsia="zh-CN"/>
          <w:szCs w:val="21"/>
          <w:kern w:val="0"/>
          <w:bCs/>
          <w:rFonts w:ascii="宋体" w:hAnsi="宋体" w:eastAsia="宋体" w:hint="eastAsia"/>
        </w:rPr>
      </w:r>
      <w:r>
        <w:rPr>
          <w:b w:val="1"/>
          <w:color w:val="242424"/>
          <w:sz w:val="21"/>
          <w:lang w:eastAsia="zh-CN"/>
          <w:szCs w:val="21"/>
          <w:kern w:val="0"/>
          <w:bCs/>
          <w:rFonts w:ascii="宋体" w:hAnsi="宋体" w:eastAsia="宋体" w:hint="eastAsia"/>
        </w:rPr>
        <w:t>第二部分  竞价内容及要求</w:t>
      </w:r>
    </w:p>
    <w:p>
      <w:pPr>
        <w:pStyle w:val="Normal"/>
        <w:snapToGrid w:val="0"/>
        <w:outlineLvl w:val="1"/>
        <w:spacing w:line="420" w:lineRule="exact"/>
        <w:ind w:firstLine="422" w:firstLineChars="200" w:right="168" w:rightChars="80"/>
        <w:rPr>
          <w:b w:val="1"/>
          <w:color w:val="000000"/>
          <w:sz w:val="21"/>
          <w:lang w:eastAsia="zh-CN"/>
          <w:szCs w:val="21"/>
          <w:rFonts w:ascii="宋体" w:hAnsi="宋体" w:eastAsia="宋体" w:hint="eastAsia"/>
        </w:rPr>
      </w:pPr>
      <w:r>
        <w:rPr>
          <w:b w:val="1"/>
          <w:color w:val="242424"/>
          <w:sz w:val="21"/>
          <w:lang w:eastAsia="zh-CN"/>
          <w:szCs w:val="21"/>
          <w:rFonts w:ascii="宋体" w:hAnsi="宋体" w:eastAsia="宋体" w:hint="eastAsia"/>
        </w:rPr>
        <w:t>一、项目概况</w:t>
      </w:r>
    </w:p>
    <w:p>
      <w:pPr>
        <w:pStyle w:val="Normal"/>
        <w:jc w:val="both"/>
        <w:spacing w:line="480" w:lineRule="exact"/>
        <w:ind w:firstLine="422" w:firstLineChars="200"/>
        <w:rPr>
          <w:b w:val="1"/>
          <w:color w:val="000000"/>
          <w:sz w:val="21"/>
          <w:lang w:val="en-US" w:eastAsia="zh-CN"/>
          <w:szCs w:val="21"/>
          <w:rFonts w:ascii="宋体" w:hAnsi="宋体" w:eastAsia="宋体" w:hint="eastAsia"/>
        </w:rPr>
      </w:pPr>
      <w:r>
        <w:rPr>
          <w:b w:val="1"/>
          <w:color w:val="242424"/>
          <w:sz w:val="21"/>
          <w:lang w:eastAsia="zh-CN"/>
          <w:szCs w:val="21"/>
          <w:bCs/>
          <w:rFonts w:ascii="宋体" w:hAnsi="宋体" w:eastAsia="宋体" w:hint="eastAsia"/>
        </w:rPr>
        <w:t>1、竞价内容一览表</w:t>
      </w:r>
    </w:p>
    <w:tbl>
      <w:tblPr>
        <w:tblW w:w="9002" w:type="dxa"/>
        <w:jc w:val="center"/>
        <w:tblInd w:type="dxa" w:w="0.000000"/>
        <w:tblLayout w:type="fixed"/>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type="dxa" w:w="0.000000"/>
          <w:bottom w:type="dxa" w:w="0.000000"/>
          <w:left w:type="dxa" w:w="0.000000"/>
          <w:right w:type="dxa" w:w="0.000000"/>
        </w:tblCellMar>
      </w:tblPr>
      <w:tblGrid>
        <w:gridCol w:w="838.000000"/>
        <w:gridCol w:w="828.000000"/>
        <w:gridCol w:w="2287.000000"/>
        <w:gridCol w:w="1073.000000"/>
        <w:gridCol w:w="1161.000000"/>
        <w:gridCol w:w="1287.000000"/>
        <w:gridCol w:w="1528.0000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blHeader/>
        </w:trPr>
        <w:tc>
          <w:tcPr>
            <w:tcW w:w="838" w:type="dxa"/>
            <w:vAlign w:val="center"/>
            <w:textDirection w:val="lrTb"/>
          </w:tcPr>
          <w:p>
            <w:pPr>
              <w:pStyle w:val="Normal"/>
              <w:keepNext w:val="0"/>
              <w:keepLines w:val="0"/>
              <w:pageBreakBefore w:val="0"/>
              <w:wordWrap w:val="1"/>
              <w:overflowPunct w:val="1"/>
              <w:topLinePunct w:val="0"/>
              <w:kinsoku w:val="1"/>
              <w:autoSpaceDE w:val="1"/>
              <w:autoSpaceDN w:val="1"/>
              <w:bidi w:val="0"/>
              <w:snapToGrid w:val="1"/>
              <w:jc w:val="center"/>
              <w:outlineLvl w:val="9"/>
              <w:rPr>
                <w:sz w:val="21"/>
                <w:szCs w:val="21"/>
                <w:kern w:val="0"/>
                <w:rFonts w:ascii="宋体" w:hAnsi="宋体" w:eastAsia="宋体" w:hint="eastAsia"/>
              </w:rPr>
            </w:pPr>
            <w:r>
              <w:rPr>
                <w:color w:val="242424"/>
                <w:sz w:val="21"/>
                <w:szCs w:val="21"/>
                <w:rFonts w:ascii="宋体" w:hAnsi="宋体" w:eastAsia="宋体" w:hint="eastAsia"/>
              </w:rPr>
              <w:t>合同包</w:t>
            </w:r>
          </w:p>
        </w:tc>
        <w:tc>
          <w:tcPr>
            <w:tcW w:w="82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szCs w:val="21"/>
                <w:kern w:val="0"/>
                <w:rFonts w:ascii="宋体" w:hAnsi="宋体" w:eastAsia="宋体" w:hint="eastAsia"/>
              </w:rPr>
            </w:pPr>
            <w:r>
              <w:rPr>
                <w:color w:val="242424"/>
                <w:sz w:val="21"/>
                <w:szCs w:val="21"/>
                <w:rFonts w:ascii="宋体" w:hAnsi="宋体" w:eastAsia="宋体" w:hint="eastAsia"/>
              </w:rPr>
              <w:t>品目号</w:t>
            </w:r>
          </w:p>
        </w:tc>
        <w:tc>
          <w:tcPr>
            <w:tcW w:w="2287"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lang w:eastAsia="zh-CN"/>
                <w:szCs w:val="21"/>
                <w:kern w:val="0"/>
                <w:rFonts w:ascii="宋体" w:hAnsi="宋体" w:eastAsia="宋体" w:hint="eastAsia"/>
              </w:rPr>
            </w:pPr>
            <w:r>
              <w:rPr>
                <w:color w:val="242424"/>
                <w:sz w:val="21"/>
                <w:szCs w:val="21"/>
                <w:rFonts w:ascii="宋体" w:hAnsi="宋体" w:eastAsia="宋体" w:hint="eastAsia"/>
              </w:rPr>
              <w:t>品目名称</w:t>
            </w:r>
          </w:p>
        </w:tc>
        <w:tc>
          <w:tcPr>
            <w:tcW w:w="1073"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szCs w:val="21"/>
                <w:kern w:val="0"/>
                <w:rFonts w:ascii="宋体" w:hAnsi="宋体" w:eastAsia="宋体" w:hint="eastAsia"/>
              </w:rPr>
            </w:pPr>
            <w:r>
              <w:rPr>
                <w:color w:val="242424"/>
                <w:sz w:val="21"/>
                <w:szCs w:val="21"/>
                <w:rFonts w:ascii="宋体" w:hAnsi="宋体" w:eastAsia="宋体" w:hint="eastAsia"/>
              </w:rPr>
              <w:t>数量</w:t>
            </w:r>
          </w:p>
        </w:tc>
        <w:tc>
          <w:tcPr>
            <w:tcW w:w="1161"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lang w:eastAsia="zh-CN"/>
                <w:szCs w:val="21"/>
                <w:kern w:val="0"/>
                <w:rFonts w:ascii="宋体" w:hAnsi="宋体" w:eastAsia="宋体" w:hint="eastAsia"/>
              </w:rPr>
            </w:pPr>
            <w:r>
              <w:rPr>
                <w:color w:val="242424"/>
                <w:sz w:val="21"/>
                <w:lang w:eastAsia="zh-CN"/>
                <w:szCs w:val="21"/>
                <w:kern w:val="0"/>
                <w:rFonts w:ascii="宋体" w:hAnsi="宋体" w:eastAsia="宋体" w:hint="eastAsia"/>
              </w:rPr>
              <w:t>单价（元）</w:t>
            </w:r>
          </w:p>
        </w:tc>
        <w:tc>
          <w:tcPr>
            <w:tcW w:w="1287"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lang w:eastAsia="zh-CN"/>
                <w:szCs w:val="21"/>
                <w:kern w:val="0"/>
                <w:rFonts w:ascii="宋体" w:hAnsi="宋体" w:eastAsia="宋体" w:hint="eastAsia"/>
              </w:rPr>
            </w:pPr>
            <w:r>
              <w:rPr>
                <w:color w:val="242424"/>
                <w:sz w:val="21"/>
                <w:szCs w:val="21"/>
                <w:rFonts w:ascii="宋体" w:hAnsi="宋体" w:eastAsia="宋体" w:hint="eastAsia"/>
              </w:rPr>
              <w:t>总价（元）</w:t>
            </w:r>
          </w:p>
        </w:tc>
        <w:tc>
          <w:tcPr>
            <w:tcW w:w="152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szCs w:val="21"/>
                <w:rFonts w:ascii="宋体" w:hAnsi="宋体" w:eastAsia="宋体" w:hint="eastAsia"/>
              </w:rPr>
            </w:pPr>
            <w:r>
              <w:rPr>
                <w:color w:val="242424"/>
                <w:sz w:val="21"/>
                <w:lang w:val="en-US" w:eastAsia="zh-CN"/>
                <w:szCs w:val="21"/>
                <w:rFonts w:ascii="宋体" w:hAnsi="宋体" w:eastAsia="宋体"/>
              </w:rPr>
              <w:t>竞价保证金（元）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blHeader/>
        </w:trPr>
        <w:tc>
          <w:tcPr>
            <w:tcW w:w="83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lang w:val="en-US" w:eastAsia="zh-CN"/>
                <w:szCs w:val="21"/>
                <w:kern w:val="0"/>
                <w:rFonts w:ascii="宋体" w:hAnsi="宋体" w:eastAsia="宋体" w:hint="eastAsia"/>
              </w:rPr>
            </w:pPr>
            <w:r>
              <w:rPr>
                <w:color w:val="242424"/>
                <w:sz w:val="21"/>
                <w:lang w:val="en-US" w:eastAsia="zh-CN"/>
                <w:szCs w:val="21"/>
                <w:kern w:val="0"/>
                <w:rFonts w:ascii="宋体" w:hAnsi="宋体" w:eastAsia="宋体" w:hint="eastAsia"/>
              </w:rPr>
              <w:t>1</w:t>
            </w:r>
          </w:p>
        </w:tc>
        <w:tc>
          <w:tcPr>
            <w:tcW w:w="82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sz w:val="21"/>
                <w:lang w:val="en-US" w:eastAsia="zh-CN"/>
                <w:szCs w:val="21"/>
                <w:kern w:val="0"/>
                <w:rFonts w:ascii="宋体" w:hAnsi="宋体" w:eastAsia="宋体" w:hint="eastAsia"/>
              </w:rPr>
            </w:pPr>
            <w:r>
              <w:rPr>
                <w:color w:val="242424"/>
                <w:sz w:val="21"/>
                <w:lang w:val="en-US" w:eastAsia="zh-CN"/>
                <w:szCs w:val="21"/>
                <w:kern w:val="0"/>
                <w:rFonts w:ascii="宋体" w:hAnsi="宋体" w:eastAsia="宋体" w:hint="eastAsia"/>
              </w:rPr>
              <w:t>1</w:t>
            </w:r>
          </w:p>
        </w:tc>
        <w:tc>
          <w:tcPr>
            <w:tcW w:w="2287" w:type="dxa"/>
            <w:vAlign w:val="center"/>
            <w:textDirection w:val="lrTb"/>
          </w:tcPr>
          <w:p>
            <w:pPr>
              <w:pStyle w:val="Normal"/>
              <w:keepNext w:val="0"/>
              <w:keepLines w:val="0"/>
              <w:pageBreakBefore w:val="0"/>
              <w:wordWrap w:val="1"/>
              <w:overflowPunct w:val="1"/>
              <w:topLinePunct w:val="0"/>
              <w:kinsoku w:val="1"/>
              <w:autoSpaceDE w:val="1"/>
              <w:autoSpaceDN w:val="1"/>
              <w:bidi w:val="0"/>
              <w:jc w:val="center"/>
              <w:spacing w:line="500" w:lineRule="exact"/>
              <w:rPr>
                <w:sz w:val="21"/>
                <w:lang w:val="en-US"/>
                <w:szCs w:val="21"/>
                <w:kern w:val="0"/>
                <w:rFonts w:ascii="宋体" w:hAnsi="宋体" w:eastAsia="宋体" w:hint="eastAsia"/>
              </w:rPr>
            </w:pPr>
            <w:r>
              <w:rPr>
                <w:color w:val="242424"/>
                <w:sz w:val="21"/>
                <w:lang w:val="en-US"/>
                <w:szCs w:val="21"/>
                <w:kern w:val="0"/>
                <w:rFonts w:ascii="宋体" w:hAnsi="宋体" w:eastAsia="宋体" w:hint="eastAsia"/>
              </w:rPr>
              <w:t>数智可视化展示大屏</w:t>
            </w:r>
          </w:p>
        </w:tc>
        <w:tc>
          <w:tcPr>
            <w:tcW w:w="1073" w:type="dxa"/>
            <w:vAlign w:val="center"/>
            <w:textDirection w:val="lrTb"/>
          </w:tcPr>
          <w:p>
            <w:pPr>
              <w:pStyle w:val="Normal"/>
              <w:keepNext w:val="0"/>
              <w:keepLines w:val="0"/>
              <w:pageBreakBefore w:val="0"/>
              <w:wordWrap w:val="1"/>
              <w:overflowPunct w:val="1"/>
              <w:topLinePunct w:val="0"/>
              <w:kinsoku w:val="1"/>
              <w:autoSpaceDE w:val="1"/>
              <w:autoSpaceDN w:val="1"/>
              <w:bidi w:val="0"/>
              <w:jc w:val="center"/>
              <w:spacing w:line="500" w:lineRule="exact"/>
              <w:rPr>
                <w:sz w:val="24"/>
                <w:lang w:val="en-US" w:eastAsia="zh-CN"/>
                <w:rFonts w:ascii="宋体" w:hAnsi="宋体" w:eastAsia="宋体" w:hint="eastAsia"/>
              </w:rPr>
            </w:pPr>
            <w:r>
              <w:rPr>
                <w:color w:val="242424"/>
                <w:sz w:val="24"/>
                <w:lang w:val="en-US" w:eastAsia="zh-CN"/>
                <w:rFonts w:ascii="宋体" w:hAnsi="宋体" w:eastAsia="宋体" w:hint="eastAsia"/>
              </w:rPr>
              <w:t xml:space="preserve">1</w:t>
            </w:r>
            <w:r>
              <w:rPr>
                <w:color w:val="242424"/>
                <w:sz w:val="21"/>
                <w:lang w:val="en-US" w:eastAsia="zh-CN"/>
                <w:szCs w:val="21"/>
                <w:kern w:val="0"/>
                <w:rFonts w:ascii="宋体" w:hAnsi="宋体" w:eastAsia="宋体" w:hint="eastAsia"/>
              </w:rPr>
            </w:r>
          </w:p>
        </w:tc>
        <w:tc>
          <w:tcPr>
            <w:tcW w:w="1161" w:type="dxa"/>
            <w:vAlign w:val="center"/>
            <w:textDirection w:val="lrTb"/>
          </w:tcPr>
          <w:p>
            <w:pPr>
              <w:pStyle w:val="Normal"/>
              <w:keepNext w:val="0"/>
              <w:keepLines w:val="0"/>
              <w:pageBreakBefore w:val="0"/>
              <w:wordWrap w:val="1"/>
              <w:overflowPunct w:val="1"/>
              <w:topLinePunct w:val="0"/>
              <w:kinsoku w:val="1"/>
              <w:autoSpaceDE w:val="1"/>
              <w:autoSpaceDN w:val="1"/>
              <w:bidi w:val="0"/>
              <w:jc w:val="center"/>
              <w:spacing w:line="500" w:lineRule="exact"/>
              <w:rPr>
                <w:sz w:val="24"/>
                <w:lang w:val="en-US" w:eastAsia="zh-CN"/>
                <w:rFonts w:ascii="宋体" w:hAnsi="宋体" w:eastAsia="宋体" w:hint="eastAsia"/>
              </w:rPr>
            </w:pPr>
            <w:r>
              <w:rPr>
                <w:color w:val="242424"/>
                <w:sz w:val="24"/>
                <w:lang w:val="en-US" w:eastAsia="zh-CN"/>
                <w:rFonts w:ascii="宋体" w:hAnsi="宋体" w:eastAsia="宋体" w:hint="eastAsia"/>
              </w:rPr>
              <w:t>99000</w:t>
            </w:r>
          </w:p>
        </w:tc>
        <w:tc>
          <w:tcPr>
            <w:tcW w:w="1287" w:type="dxa"/>
            <w:vAlign w:val="center"/>
            <w:textDirection w:val="lrTb"/>
          </w:tcPr>
          <w:p>
            <w:pPr>
              <w:pStyle w:val="Normal"/>
              <w:keepNext w:val="0"/>
              <w:keepLines w:val="0"/>
              <w:pageBreakBefore w:val="0"/>
              <w:wordWrap w:val="1"/>
              <w:overflowPunct w:val="1"/>
              <w:topLinePunct w:val="0"/>
              <w:kinsoku w:val="1"/>
              <w:autoSpaceDE w:val="1"/>
              <w:autoSpaceDN w:val="1"/>
              <w:bidi w:val="0"/>
              <w:jc w:val="center"/>
              <w:spacing w:line="500" w:lineRule="exact"/>
              <w:rPr>
                <w:sz w:val="24"/>
                <w:lang w:val="en-US" w:eastAsia="zh-CN"/>
                <w:rFonts w:ascii="宋体" w:hAnsi="宋体" w:eastAsia="宋体" w:hint="eastAsia"/>
              </w:rPr>
            </w:pPr>
            <w:r>
              <w:rPr>
                <w:color w:val="242424"/>
                <w:sz w:val="24"/>
                <w:lang w:val="en-US" w:eastAsia="zh-CN"/>
                <w:rFonts w:ascii="宋体" w:hAnsi="宋体" w:eastAsia="宋体" w:hint="eastAsia"/>
              </w:rPr>
              <w:t xml:space="preserve">99000</w:t>
            </w:r>
            <w:r>
              <w:rPr>
                <w:color w:val="242424"/>
                <w:sz w:val="21"/>
                <w:lang w:val="en-US" w:eastAsia="zh-CN"/>
                <w:szCs w:val="21"/>
                <w:kern w:val="0"/>
                <w:rFonts w:ascii="宋体" w:hAnsi="宋体" w:eastAsia="宋体" w:hint="eastAsia"/>
              </w:rPr>
            </w:r>
          </w:p>
        </w:tc>
        <w:tc>
          <w:tcPr>
            <w:tcW w:w="1528" w:type="dxa"/>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lang w:val="en-US" w:eastAsia="zh-CN"/>
                <w:szCs w:val="21"/>
                <w:rFonts w:ascii="宋体" w:hAnsi="宋体" w:eastAsia="宋体" w:hint="eastAsia"/>
              </w:rPr>
            </w:pPr>
            <w:r>
              <w:rPr>
                <w:color w:val="242424"/>
                <w:sz w:val="21"/>
                <w:lang w:val="en-US" w:eastAsia="zh-CN"/>
                <w:szCs w:val="21"/>
                <w:rFonts w:ascii="宋体" w:hAnsi="宋体" w:eastAsia="宋体"/>
              </w:rPr>
              <w:t xml:space="preserve"> 2000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blHeader/>
        </w:trPr>
        <w:tc>
          <w:tcPr>
            <w:tcW w:w="9002" w:type="dxa"/>
            <w:gridSpan w:val="7"/>
            <w:vAlign w:val="center"/>
            <w:textDirection w:val="lrTb"/>
          </w:tcPr>
          <w:p>
            <w:pPr>
              <w:pStyle w:val="Normal"/>
              <w:widowControl w:val="1"/>
              <w:keepNext w:val="0"/>
              <w:keepLines w:val="0"/>
              <w:pageBreakBefore w:val="0"/>
              <w:overflowPunct w:val="1"/>
              <w:topLinePunct w:val="0"/>
              <w:kinsoku w:val="1"/>
              <w:autoSpaceDE w:val="1"/>
              <w:autoSpaceDN w:val="1"/>
              <w:bidi w:val="0"/>
              <w:jc w:val="center"/>
              <w:widowControl/>
              <w:outlineLvl w:val="9"/>
              <w:rPr>
                <w:color w:val="000000"/>
                <w:sz w:val="21"/>
                <w:szCs w:val="21"/>
                <w:kern w:val="0"/>
                <w:rFonts w:ascii="宋体" w:hAnsi="宋体" w:eastAsia="宋体" w:hint="eastAsia"/>
              </w:rPr>
            </w:pPr>
            <w:r>
              <w:rPr>
                <w:color w:val="242424"/>
                <w:sz w:val="21"/>
                <w:szCs w:val="21"/>
                <w:kern w:val="0"/>
                <w:rFonts w:ascii="宋体" w:hAnsi="宋体" w:eastAsia="宋体" w:hint="eastAsia"/>
              </w:rPr>
              <w:t>合同包预算总价：人民币玖万玖仟元整（￥99000.00）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blHeader/>
        </w:trPr>
        <w:tc>
          <w:tcPr>
            <w:tcW w:w="9002" w:type="dxa"/>
            <w:gridSpan w:val="7"/>
            <w:vAlign w:val="center"/>
            <w:textDirection w:val="lrTb"/>
          </w:tcPr>
          <w:p>
            <w:pPr>
              <w:pStyle w:val="Normal"/>
              <w:widowControl w:val="1"/>
              <w:keepNext w:val="0"/>
              <w:keepLines w:val="0"/>
              <w:pageBreakBefore w:val="0"/>
              <w:overflowPunct w:val="1"/>
              <w:topLinePunct w:val="0"/>
              <w:kinsoku w:val="1"/>
              <w:autoSpaceDE w:val="1"/>
              <w:autoSpaceDN w:val="1"/>
              <w:bidi w:val="0"/>
              <w:jc w:val="start"/>
              <w:widowControl/>
              <w:outlineLvl w:val="9"/>
              <w:rPr>
                <w:color w:val="00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备注：本项目所涉及的所有费用应包含税费、货物生产、制造、包装、运输、人工、税收、安装调试费及安装所需的辅料、验收、保修、退换货等履行本项目所支付的所有费用。</w:t>
            </w:r>
          </w:p>
        </w:tc>
      </w:tr>
    </w:tbl>
    <w:p>
      <w:pPr>
        <w:pStyle w:val="UserStyle_15"/>
        <w:spacing w:line="240" w:lineRule="auto"/>
        <w:ind w:firstLine="422" w:firstLineChars="200"/>
        <w:rPr>
          <w:b w:val="1"/>
          <w:color w:val="ff0000"/>
          <w:sz w:val="21"/>
          <w:lang w:eastAsia="zh-CN"/>
          <w:szCs w:val="21"/>
          <w:bCs/>
          <w:rFonts w:ascii="宋体" w:hAnsi="宋体" w:eastAsia="宋体" w:hint="eastAsia"/>
        </w:rPr>
      </w:pPr>
      <w:r>
        <w:rPr>
          <w:b w:val="1"/>
          <w:color w:val="242424"/>
          <w:sz w:val="21"/>
          <w:lang w:eastAsia="zh-CN"/>
          <w:szCs w:val="21"/>
          <w:bCs/>
          <w:rFonts w:ascii="宋体" w:hAnsi="宋体" w:eastAsia="宋体" w:hint="eastAsia"/>
        </w:rPr>
        <w:t xml:space="preserve">二、技术和服务要求：</w:t>
      </w:r>
      <w:r>
        <w:rPr>
          <w:color w:val="242424"/>
          <w:sz w:val="21"/>
          <w:lang w:val="en-US" w:eastAsia="zh-CN"/>
          <w:szCs w:val="21"/>
          <w:rFonts w:ascii="宋体" w:hAnsi="宋体" w:eastAsia="宋体" w:hint="eastAsia"/>
        </w:rPr>
      </w:r>
    </w:p>
    <w:p>
      <w:pPr>
        <w:pStyle w:val="Normal"/>
        <w:bidi w:val="0"/>
        <w:ind w:firstLine="420" w:firstLineChars="200"/>
        <w:rPr>
          <w:color w:val="ff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根据采购人数据展示需求，搭建数智可视化展示大屏导航主页+九大类主题大屏，具体要求包括以下几个方面：</w:t>
      </w:r>
    </w:p>
    <w:p>
      <w:pPr>
        <w:pStyle w:val="Normal"/>
        <w:bidi w:val="0"/>
        <w:ind w:firstLine="420" w:firstLineChars="200"/>
        <w:rPr>
          <w:color w:val="ff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1、支持提供数据大屏建设调研服务，提供数据调研模版，整理需要对接的数据以及数据展示的方式，出具需求调研报告。</w:t>
      </w:r>
    </w:p>
    <w:p>
      <w:pPr>
        <w:pStyle w:val="Normal"/>
        <w:bidi w:val="0"/>
        <w:ind w:firstLine="420" w:firstLineChars="200"/>
        <w:rPr>
          <w:color w:val="ff0000"/>
          <w:sz w:val="21"/>
          <w:lang w:val="en-US" w:eastAsia="zh-CN"/>
          <w:szCs w:val="21"/>
          <w:rFonts w:ascii="宋体" w:hAnsi="宋体" w:eastAsia="宋体" w:hint="eastAsia"/>
        </w:rPr>
      </w:pPr>
      <w:r>
        <w:rPr>
          <w:color w:val="242424"/>
          <w:sz w:val="21"/>
          <w:lang w:val="en-US" w:eastAsia="en-US"/>
          <w:szCs w:val="21"/>
          <w:rFonts w:ascii="宋体" w:hAnsi="宋体" w:eastAsia="宋体" w:hint="eastAsia"/>
        </w:rPr>
        <w:t>2、支持对接采购人现有数据和大屏，支持API接口、离线表格、数据库直连、ETL推送等至少四种数据清单类型。</w:t>
      </w:r>
    </w:p>
    <w:p>
      <w:pPr>
        <w:pStyle w:val="BodyText"/>
        <w:ind w:firstLine="420" w:firstLineChars="200"/>
        <w:rPr>
          <w:color w:val="ff0000"/>
          <w:sz w:val="21"/>
          <w:lang w:val="en-US" w:eastAsia="zh-CN"/>
          <w:szCs w:val="21"/>
          <w:rFonts w:ascii="宋体" w:hAnsi="宋体" w:eastAsia="宋体" w:hint="eastAsia"/>
        </w:rPr>
      </w:pPr>
      <w:r>
        <w:rPr>
          <w:color w:val="242424"/>
          <w:sz w:val="21"/>
          <w:lang w:val="en-US" w:eastAsia="zh-CN" w:bidi="ar-SA"/>
          <w:szCs w:val="21"/>
          <w:kern w:val="2"/>
          <w:rFonts w:ascii="宋体" w:hAnsi="宋体" w:eastAsia="宋体" w:hint="eastAsia"/>
        </w:rPr>
        <w:t>3、维保期内提供可视化设计平台，平台具有以下功能：</w:t>
      </w:r>
    </w:p>
    <w:p>
      <w:pPr>
        <w:pStyle w:val="BodyText"/>
        <w:ind w:firstLine="420" w:firstLineChars="200"/>
        <w:rPr>
          <w:color w:val="ff0000"/>
          <w:sz w:val="21"/>
          <w:lang w:val="en-US" w:eastAsia="zh-CN" w:bidi="ar-SA"/>
          <w:szCs w:val="21"/>
          <w:kern w:val="2"/>
          <w:rFonts w:ascii="宋体" w:hAnsi="宋体" w:eastAsia="宋体" w:hint="eastAsia"/>
        </w:rPr>
      </w:pPr>
      <w:r>
        <w:rPr>
          <w:color w:val="242424"/>
          <w:sz w:val="21"/>
          <w:lang w:val="en-US" w:eastAsia="zh-CN" w:bidi="ar-SA"/>
          <w:szCs w:val="21"/>
          <w:kern w:val="2"/>
          <w:rFonts w:ascii="宋体" w:hAnsi="宋体" w:eastAsia="宋体" w:hint="eastAsia"/>
        </w:rPr>
        <w:t>3.1支持提供数据采集平台，可根据学校需求设计数据采集模板，支持数据的增、删、改、查、导入、导出相关功能，并且能够明确每个主题的归属部门，并为不同用户设置不同数据采集权限。数据类型包括结构化、半结构化、非结构化数据，并支持将数据对接学校数据中台。数据采集平台数据实时同步到可视化展示大屏。维保期内配合采购人需求提供数据采集模板修改服务。</w:t>
      </w:r>
    </w:p>
    <w:p>
      <w:pPr>
        <w:pStyle w:val="BodyText"/>
        <w:ind w:firstLine="420" w:firstLineChars="200"/>
        <w:rPr>
          <w:color w:val="ff0000"/>
          <w:sz w:val="21"/>
          <w:lang w:val="en-US" w:eastAsia="zh-CN" w:bidi="ar-SA"/>
          <w:szCs w:val="21"/>
          <w:kern w:val="2"/>
          <w:rFonts w:ascii="宋体" w:hAnsi="宋体" w:eastAsia="宋体" w:hint="eastAsia"/>
        </w:rPr>
      </w:pPr>
      <w:r>
        <w:rPr>
          <w:color w:val="242424"/>
          <w:sz w:val="21"/>
          <w:lang w:val="en-US" w:eastAsia="zh-CN" w:bidi="ar-SA"/>
          <w:szCs w:val="21"/>
          <w:kern w:val="2"/>
          <w:rFonts w:ascii="宋体" w:hAnsi="宋体" w:eastAsia="宋体" w:hint="eastAsia"/>
        </w:rPr>
        <w:t>3.2支持通过对图形组件及指标进行简易的可视化拖拽操作，即可快速创建出直观、多元、且精致的数据可视化应用。</w:t>
      </w:r>
    </w:p>
    <w:p>
      <w:pPr>
        <w:pStyle w:val="BodyText"/>
        <w:ind w:firstLine="420" w:firstLineChars="200"/>
        <w:rPr>
          <w:color w:val="ff0000"/>
          <w:sz w:val="21"/>
          <w:lang w:val="en-US" w:eastAsia="zh-CN" w:bidi="ar-SA"/>
          <w:szCs w:val="21"/>
          <w:kern w:val="2"/>
          <w:rFonts w:ascii="宋体" w:hAnsi="宋体" w:eastAsia="宋体" w:hint="eastAsia"/>
        </w:rPr>
      </w:pPr>
      <w:r>
        <w:rPr>
          <w:color w:val="242424"/>
          <w:sz w:val="21"/>
          <w:lang w:val="en-US" w:eastAsia="zh-CN" w:bidi="ar-SA"/>
          <w:szCs w:val="21"/>
          <w:kern w:val="2"/>
          <w:rFonts w:ascii="宋体" w:hAnsi="宋体" w:eastAsia="宋体" w:hint="eastAsia"/>
        </w:rPr>
        <w:t>3.3支持多种图表组件，支持对图表组建的拖拽，其中对图表组件中的折线图、柱图、饼图、散点图、漏斗图、混合图、象形图、组织架构、雷达图，支持用户对图表组件属性修改。</w:t>
      </w:r>
    </w:p>
    <w:p>
      <w:pPr>
        <w:pStyle w:val="BodyText"/>
        <w:ind w:firstLine="420" w:firstLineChars="200"/>
        <w:rPr>
          <w:color w:val="ff0000"/>
          <w:sz w:val="21"/>
          <w:lang w:val="en-US" w:eastAsia="zh-CN" w:bidi="ar-SA"/>
          <w:szCs w:val="21"/>
          <w:kern w:val="2"/>
          <w:rFonts w:ascii="宋体" w:hAnsi="宋体" w:eastAsia="宋体" w:hint="eastAsia"/>
        </w:rPr>
      </w:pPr>
      <w:r>
        <w:rPr>
          <w:color w:val="242424"/>
          <w:sz w:val="21"/>
          <w:lang w:val="en-US" w:eastAsia="zh-CN" w:bidi="ar-SA"/>
          <w:szCs w:val="21"/>
          <w:kern w:val="2"/>
          <w:rFonts w:ascii="宋体" w:hAnsi="宋体" w:eastAsia="宋体" w:hint="eastAsia"/>
        </w:rPr>
        <w:t>3.4支持文字组件，包含了轮播表格、翻牌器、词云、文本、链接文字组件，支持用户对文字组件的样式、数据、交互进行管理等。</w:t>
      </w:r>
    </w:p>
    <w:p>
      <w:pPr>
        <w:pStyle w:val="BodyText"/>
        <w:ind w:firstLine="420" w:firstLineChars="200"/>
        <w:rPr>
          <w:color w:val="ff0000"/>
          <w:sz w:val="21"/>
          <w:lang w:val="en-US" w:eastAsia="zh-CN" w:bidi="ar-SA"/>
          <w:szCs w:val="21"/>
          <w:kern w:val="2"/>
          <w:rFonts w:ascii="宋体" w:hAnsi="宋体" w:eastAsia="宋体" w:hint="eastAsia"/>
        </w:rPr>
      </w:pPr>
      <w:r>
        <w:rPr>
          <w:color w:val="242424"/>
          <w:sz w:val="21"/>
          <w:lang w:val="en-US" w:eastAsia="zh-CN" w:bidi="ar-SA"/>
          <w:szCs w:val="21"/>
          <w:kern w:val="2"/>
          <w:rFonts w:ascii="宋体" w:hAnsi="宋体" w:eastAsia="宋体" w:hint="eastAsia"/>
        </w:rPr>
        <w:t>3.5支持辅助组件，包含了图片、视频、水印、iframe、iframe切换、布局装饰、音频支持用户对组件的样式、数据、交互进行管理等。</w:t>
      </w:r>
    </w:p>
    <w:p>
      <w:pPr>
        <w:pStyle w:val="BodyText"/>
        <w:ind w:firstLine="420" w:firstLineChars="200"/>
        <w:rPr>
          <w:color w:val="ff0000"/>
          <w:sz w:val="21"/>
          <w:lang w:val="en-US" w:eastAsia="zh-CN" w:bidi="ar-SA"/>
          <w:szCs w:val="21"/>
          <w:kern w:val="2"/>
          <w:rFonts w:ascii="宋体" w:hAnsi="宋体" w:eastAsia="宋体" w:hint="eastAsia"/>
        </w:rPr>
      </w:pPr>
      <w:r>
        <w:rPr>
          <w:color w:val="242424"/>
          <w:sz w:val="21"/>
          <w:lang w:val="en-US" w:eastAsia="zh-CN" w:bidi="ar-SA"/>
          <w:szCs w:val="21"/>
          <w:kern w:val="2"/>
          <w:rFonts w:ascii="宋体" w:hAnsi="宋体" w:eastAsia="宋体" w:hint="eastAsia"/>
        </w:rPr>
        <w:t>3.6支持指标组件，包含了基本水位图、单独占比图、仪表盘组件，支持用户对指标组件的样式、数据、交互进行管理等。</w:t>
      </w:r>
    </w:p>
    <w:p>
      <w:pPr>
        <w:pStyle w:val="BodyText"/>
        <w:ind w:firstLine="420" w:firstLineChars="200"/>
        <w:rPr>
          <w:color w:val="ff0000"/>
          <w:sz w:val="21"/>
          <w:lang w:val="en-US" w:eastAsia="zh-CN"/>
          <w:szCs w:val="21"/>
          <w:rFonts w:ascii="宋体" w:hAnsi="宋体" w:eastAsia="宋体" w:hint="eastAsia"/>
        </w:rPr>
      </w:pPr>
      <w:r>
        <w:rPr>
          <w:color w:val="242424"/>
          <w:sz w:val="21"/>
          <w:lang w:val="en-US" w:eastAsia="zh-CN" w:bidi="ar-SA"/>
          <w:szCs w:val="21"/>
          <w:kern w:val="2"/>
          <w:rFonts w:ascii="宋体" w:hAnsi="宋体" w:eastAsia="宋体" w:hint="eastAsia"/>
        </w:rPr>
        <w:t xml:space="preserve">4、支持定制化搭建数智可视化展示大屏导航主页+九大类主题大屏，数据主题包括但不限于以下几个方面：</w:t>
      </w:r>
      <w:r>
        <w:rPr>
          <w:b w:val="1"/>
          <w:color w:val="242424"/>
          <w:sz w:val="21"/>
          <w:lang w:val="en-US" w:eastAsia="zh-CN" w:bidi="ar-SA"/>
          <w:szCs w:val="21"/>
          <w:kern w:val="2"/>
          <w:bCs/>
          <w:rFonts w:ascii="宋体" w:hAnsi="宋体" w:eastAsia="宋体" w:hint="eastAsia"/>
        </w:rPr>
      </w:r>
    </w:p>
    <w:tbl>
      <w:tblPr>
        <w:tblStyle w:val="TableGrid"/>
        <w:tblW w:w="0" w:type="auto"/>
        <w:tblInd w:type="dxa" w:w="-108.000000"/>
        <w:tblLayout w:type="autofi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896.000000"/>
        <w:gridCol w:w="1620.000000"/>
        <w:gridCol w:w="564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Align w:val="center"/>
            <w:textDirection w:val="lrTb"/>
          </w:tcPr>
          <w:p>
            <w:pPr>
              <w:pStyle w:val="Normal"/>
              <w:widowControl w:val="1"/>
              <w:jc w:val="center"/>
              <w:widowControl/>
              <w:rPr>
                <w:b w:val="1"/>
                <w:color w:val="ff0000"/>
                <w:sz w:val="21"/>
                <w:szCs w:val="21"/>
                <w:kern w:val="0"/>
                <w:bCs/>
                <w:rFonts w:ascii="宋体" w:hAnsi="宋体" w:eastAsia="宋体" w:hint="eastAsia"/>
              </w:rPr>
            </w:pPr>
            <w:r>
              <w:rPr>
                <w:b w:val="1"/>
                <w:color w:val="242424"/>
                <w:sz w:val="21"/>
                <w:lang w:val="en-US" w:eastAsia="zh-CN" w:bidi="ar-SA"/>
                <w:szCs w:val="21"/>
                <w:kern w:val="0"/>
                <w:bCs/>
                <w:rFonts w:ascii="宋体" w:hAnsi="宋体" w:eastAsia="宋体" w:hint="eastAsia"/>
              </w:rPr>
              <w:t>模块名称</w:t>
            </w:r>
          </w:p>
        </w:tc>
        <w:tc>
          <w:tcPr>
            <w:tcW w:w="1620" w:type="dxa"/>
            <w:vAlign w:val="center"/>
            <w:textDirection w:val="lrTb"/>
          </w:tcPr>
          <w:p>
            <w:pPr>
              <w:pStyle w:val="Normal"/>
              <w:widowControl w:val="1"/>
              <w:jc w:val="center"/>
              <w:widowControl/>
              <w:rPr>
                <w:b w:val="1"/>
                <w:color w:val="ff0000"/>
                <w:sz w:val="21"/>
                <w:lang w:val="en-US" w:eastAsia="zh-CN"/>
                <w:szCs w:val="21"/>
                <w:kern w:val="0"/>
                <w:bCs/>
                <w:rFonts w:ascii="宋体" w:hAnsi="宋体" w:eastAsia="宋体" w:hint="eastAsia"/>
              </w:rPr>
            </w:pPr>
            <w:r>
              <w:rPr>
                <w:b w:val="1"/>
                <w:color w:val="242424"/>
                <w:sz w:val="21"/>
                <w:lang w:val="en-US" w:eastAsia="zh-CN" w:bidi="ar-SA"/>
                <w:szCs w:val="21"/>
                <w:kern w:val="0"/>
                <w:bCs/>
                <w:rFonts w:ascii="宋体" w:hAnsi="宋体" w:eastAsia="宋体" w:hint="eastAsia"/>
              </w:rPr>
              <w:t>类别</w:t>
            </w:r>
          </w:p>
        </w:tc>
        <w:tc>
          <w:tcPr>
            <w:tcW w:w="5640" w:type="dxa"/>
            <w:vAlign w:val="center"/>
            <w:textDirection w:val="lrTb"/>
          </w:tcPr>
          <w:p>
            <w:pPr>
              <w:pStyle w:val="Normal"/>
              <w:widowControl w:val="1"/>
              <w:jc w:val="center"/>
              <w:widowControl/>
              <w:rPr>
                <w:b w:val="1"/>
                <w:color w:val="ff0000"/>
                <w:sz w:val="21"/>
                <w:lang w:val="en-US" w:eastAsia="zh-CN"/>
                <w:szCs w:val="21"/>
                <w:kern w:val="0"/>
                <w:bCs/>
                <w:rFonts w:ascii="宋体" w:hAnsi="宋体" w:eastAsia="宋体" w:hint="eastAsia"/>
              </w:rPr>
            </w:pPr>
            <w:r>
              <w:rPr>
                <w:b w:val="1"/>
                <w:color w:val="242424"/>
                <w:sz w:val="21"/>
                <w:lang w:val="en-US" w:eastAsia="zh-CN" w:bidi="ar-SA"/>
                <w:szCs w:val="21"/>
                <w:kern w:val="0"/>
                <w:bCs/>
                <w:rFonts w:ascii="宋体" w:hAnsi="宋体" w:eastAsia="宋体" w:hint="eastAsia"/>
              </w:rPr>
              <w:t>内容概述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大屏导航主页</w:t>
            </w:r>
          </w:p>
        </w:tc>
        <w:tc>
          <w:tcPr>
            <w:tcW w:w="1620" w:type="dxa"/>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一级大屏</w:t>
            </w:r>
          </w:p>
        </w:tc>
        <w:tc>
          <w:tcPr>
            <w:tcW w:w="5640" w:type="dxa"/>
            <w:vAlign w:val="center"/>
            <w:textDirection w:val="lrTb"/>
          </w:tcPr>
          <w:p>
            <w:pPr>
              <w:pStyle w:val="Normal"/>
              <w:widowControl w:val="1"/>
              <w:jc w:val="both"/>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学校九大主题大屏导航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restart"/>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一、学校基本概况及办学条件情况</w:t>
            </w:r>
          </w:p>
        </w:tc>
        <w:tc>
          <w:tcPr>
            <w:tcW w:w="1620" w:type="dxa"/>
            <w:vMerge w:val="restart"/>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二级大屏</w:t>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1.历史沿革和基本概况（学院专业设置、师生基本数据、重要奖项荣誉等）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1620"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2.学校整体规划、校舍、资产、信息化等数据情况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restart"/>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二、党建思政</w:t>
            </w:r>
          </w:p>
        </w:tc>
        <w:tc>
          <w:tcPr>
            <w:tcW w:w="1620" w:type="dxa"/>
            <w:vMerge w:val="restart"/>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二级大屏</w:t>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1.党建思政工作基本情况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1620"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2.标杆支部、思政、共青团工作举措及成果展示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restart"/>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三、人才培养</w:t>
            </w:r>
          </w:p>
        </w:tc>
        <w:tc>
          <w:tcPr>
            <w:tcW w:w="1620" w:type="dxa"/>
            <w:vMerge w:val="restart"/>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二级大屏</w:t>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1.人才培养基本情况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1620"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2.专业建设、人才培养方案、教学成果奖、技能大赛、创新创业大赛、校园文化、青年志愿活动、就业创业工作等举措和成效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restart"/>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四、师资队伍</w:t>
            </w:r>
          </w:p>
        </w:tc>
        <w:tc>
          <w:tcPr>
            <w:tcW w:w="1620" w:type="dxa"/>
            <w:vMerge w:val="restart"/>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二级大屏</w:t>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1.师资队伍整体构成数据情况及重要奖项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1620"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2.内培外引人才机制、同济师资培训中心、双师型、技能大师、高层次人才等数据及典型案例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restart"/>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五、产教融合</w:t>
            </w:r>
          </w:p>
        </w:tc>
        <w:tc>
          <w:tcPr>
            <w:tcW w:w="1620" w:type="dxa"/>
            <w:vMerge w:val="restart"/>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二级大屏</w:t>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1.产教融合基本数据情况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1620"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2.校企合作企业、园区，产教联盟、共同体、校外实训基地等方面工作举措及成果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restart"/>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六、科研与社会服务</w:t>
            </w:r>
          </w:p>
        </w:tc>
        <w:tc>
          <w:tcPr>
            <w:tcW w:w="1620" w:type="dxa"/>
            <w:vMerge w:val="restart"/>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二级大屏</w:t>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1.科研与社会服务数据总概况（近五年增长情况）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1620"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2.纵横向科研统计、专利及成果转化、继续教育、社会培训服务、工匠学院等方面成果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restart"/>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七、国际交流</w:t>
            </w:r>
          </w:p>
        </w:tc>
        <w:tc>
          <w:tcPr>
            <w:tcW w:w="1620" w:type="dxa"/>
            <w:vMerge w:val="restart"/>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二级大屏</w:t>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1.国际交流与合作基本情况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1620"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2.三进三出机制、国际生生源及在校学习情况、海外海丝学院、鲁班学院、文儒书院、“中文+职业技能”专业课程体系建设、闽台交流等情况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restart"/>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八、信息化建设</w:t>
            </w:r>
          </w:p>
        </w:tc>
        <w:tc>
          <w:tcPr>
            <w:tcW w:w="1620" w:type="dxa"/>
            <w:vMerge w:val="restart"/>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二级大屏</w:t>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1.信息化建设基本数据情况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1620" w:type="dxa"/>
            <w:vMerge w:val="continue"/>
            <w:vAlign w:val="top"/>
            <w:textDirection w:val="lrTb"/>
          </w:tcPr>
          <w:p>
            <w:pPr>
              <w:pStyle w:val="Normal"/>
              <w:jc w:val="center"/>
              <w:rPr>
                <w:vertAlign w:val="baseline"/>
                <w:color w:val="ff0000"/>
                <w:sz w:val="21"/>
                <w:lang w:val="en-US" w:eastAsia="zh-CN" w:bidi="ar-SA"/>
                <w:szCs w:val="21"/>
                <w:kern w:val="2"/>
                <w:rFonts w:ascii="宋体" w:hAnsi="宋体" w:eastAsia="宋体" w:hint="eastAsia"/>
              </w:rPr>
            </w:pPr>
            <w:r>
              <w:rPr>
                <w:vertAlign w:val="baseline"/>
                <w:color w:val="242424"/>
                <w:sz w:val="21"/>
                <w:lang w:val="en-US" w:eastAsia="zh-CN" w:bidi="ar-SA"/>
                <w:szCs w:val="21"/>
                <w:kern w:val="2"/>
                <w:rFonts w:ascii="宋体" w:hAnsi="宋体" w:eastAsia="宋体" w:hint="eastAsia"/>
              </w:rPr>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2.信息化平台建设、智慧校园成果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restart"/>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九、学校治理</w:t>
            </w:r>
          </w:p>
        </w:tc>
        <w:tc>
          <w:tcPr>
            <w:tcW w:w="1620" w:type="dxa"/>
            <w:vMerge w:val="restart"/>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bidi="ar-SA"/>
                <w:szCs w:val="21"/>
                <w:kern w:val="0"/>
                <w:rFonts w:ascii="宋体" w:hAnsi="宋体" w:eastAsia="宋体" w:hint="eastAsia"/>
              </w:rPr>
              <w:t>二级大屏</w:t>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lang w:val="en-US" w:eastAsia="zh-CN" w:bidi="ar-SA"/>
                <w:szCs w:val="21"/>
                <w:kern w:val="0"/>
                <w:rFonts w:ascii="宋体" w:hAnsi="宋体" w:eastAsia="宋体" w:hint="eastAsia"/>
              </w:rPr>
              <w:t>1.学校治理总概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96" w:type="dxa"/>
            <w:vMerge w:val="continue"/>
            <w:vAlign w:val="center"/>
            <w:textDirection w:val="lrTb"/>
          </w:tcPr>
          <w:p>
            <w:pPr>
              <w:pStyle w:val="Normal"/>
              <w:widowControl w:val="1"/>
              <w:jc w:val="center"/>
              <w:widowControl/>
              <w:rPr>
                <w:color w:val="ff0000"/>
                <w:sz w:val="21"/>
                <w:szCs w:val="21"/>
                <w:kern w:val="0"/>
                <w:rFonts w:ascii="宋体" w:hAnsi="宋体" w:eastAsia="宋体" w:hint="eastAsia"/>
              </w:rPr>
            </w:pPr>
            <w:r>
              <w:rPr>
                <w:color w:val="242424"/>
                <w:sz w:val="21"/>
                <w:szCs w:val="21"/>
                <w:kern w:val="0"/>
                <w:rFonts w:ascii="宋体" w:hAnsi="宋体" w:eastAsia="宋体" w:hint="eastAsia"/>
              </w:rPr>
            </w:r>
          </w:p>
        </w:tc>
        <w:tc>
          <w:tcPr>
            <w:tcW w:w="1620" w:type="dxa"/>
            <w:vMerge w:val="continue"/>
            <w:vAlign w:val="center"/>
            <w:textDirection w:val="lrTb"/>
          </w:tcPr>
          <w:p>
            <w:pPr>
              <w:pStyle w:val="Normal"/>
              <w:widowControl w:val="1"/>
              <w:jc w:val="center"/>
              <w:widowControl/>
              <w:rPr>
                <w:color w:val="ff0000"/>
                <w:sz w:val="21"/>
                <w:lang w:val="en-US" w:eastAsia="zh-CN"/>
                <w:szCs w:val="21"/>
                <w:kern w:val="0"/>
                <w:rFonts w:ascii="宋体" w:hAnsi="宋体" w:eastAsia="宋体" w:hint="eastAsia"/>
              </w:rPr>
            </w:pPr>
            <w:r>
              <w:rPr>
                <w:color w:val="242424"/>
                <w:sz w:val="21"/>
                <w:lang w:val="en-US" w:eastAsia="zh-CN"/>
                <w:szCs w:val="21"/>
                <w:kern w:val="0"/>
                <w:rFonts w:ascii="宋体" w:hAnsi="宋体" w:eastAsia="宋体" w:hint="eastAsia"/>
              </w:rPr>
            </w:r>
          </w:p>
        </w:tc>
        <w:tc>
          <w:tcPr>
            <w:tcW w:w="5640" w:type="dxa"/>
            <w:vAlign w:val="center"/>
            <w:textDirection w:val="lrTb"/>
          </w:tcPr>
          <w:p>
            <w:pPr>
              <w:pStyle w:val="Normal"/>
              <w:widowControl w:val="1"/>
              <w:jc w:val="both"/>
              <w:widowControl/>
              <w:rPr>
                <w:color w:val="ff0000"/>
                <w:sz w:val="21"/>
                <w:szCs w:val="21"/>
                <w:kern w:val="0"/>
                <w:rFonts w:ascii="宋体" w:hAnsi="宋体" w:eastAsia="宋体" w:hint="eastAsia"/>
              </w:rPr>
            </w:pPr>
            <w:r>
              <w:rPr>
                <w:color w:val="242424"/>
                <w:sz w:val="21"/>
                <w:szCs w:val="21"/>
                <w:kern w:val="0"/>
                <w:rFonts w:ascii="宋体" w:hAnsi="宋体" w:eastAsia="宋体" w:hint="eastAsia"/>
              </w:rPr>
              <w:t>2.双代会、文明校、法治校、综治、绿色校园、急救等建设情况</w:t>
            </w:r>
          </w:p>
        </w:tc>
      </w:tr>
    </w:tbl>
    <w:p>
      <w:pPr>
        <w:pStyle w:val="BodyText"/>
        <w:spacing w:after="0"/>
        <w:ind w:firstLine="420" w:firstLineChars="200"/>
        <w:rPr>
          <w:color w:val="ff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大屏具体展示数据和内容以实施调研结果为准。数据展示大屏包括但不限于二级，可根据具体展示需求，支持对数据指标自顶向下的逐层钻取式查看，实现对指标的逐层细化、深化分析。</w:t>
      </w:r>
    </w:p>
    <w:p>
      <w:pPr>
        <w:pStyle w:val="Normal"/>
        <w:numPr>
          <w:ilvl w:val="0"/>
          <w:numId w:val="0"/>
        </w:numPr>
        <w:ind w:firstLine="420" w:firstLineChars="200"/>
        <w:rPr>
          <w:color w:val="ff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5、支持可视化展示大屏、数据采集平台等应与采购人现有统一身份认证系统对接，访问入口部署于采购人内网门户。</w:t>
      </w:r>
    </w:p>
    <w:p>
      <w:pPr>
        <w:pStyle w:val="BodyText"/>
        <w:numPr>
          <w:ilvl w:val="0"/>
          <w:numId w:val="0"/>
        </w:numPr>
        <w:spacing w:after="0"/>
        <w:ind w:firstLine="420" w:firstLineChars="200"/>
        <w:rPr>
          <w:color w:val="ff0000"/>
          <w:sz w:val="21"/>
          <w:lang w:val="en-US" w:eastAsia="zh-CN" w:bidi="ar-SA"/>
          <w:szCs w:val="21"/>
          <w:kern w:val="2"/>
          <w:rFonts w:ascii="宋体" w:hAnsi="宋体" w:eastAsia="宋体" w:hint="eastAsia"/>
        </w:rPr>
      </w:pPr>
      <w:r>
        <w:rPr>
          <w:color w:val="242424"/>
          <w:sz w:val="21"/>
          <w:lang w:val="en-US" w:eastAsia="zh-CN" w:bidi="ar-SA"/>
          <w:szCs w:val="21"/>
          <w:kern w:val="2"/>
          <w:rFonts w:ascii="宋体" w:hAnsi="宋体" w:eastAsia="宋体" w:hint="eastAsia"/>
        </w:rPr>
        <w:t>6、维保期内支持各项扩展功能，并配合采购人做好预留接口的实时对接，配合采购人需求提供大屏局部修改服务。</w:t>
      </w:r>
    </w:p>
    <w:p>
      <w:pPr>
        <w:pStyle w:val="UserStyle_15"/>
        <w:spacing w:line="240" w:lineRule="auto"/>
        <w:ind w:firstLine="420" w:firstLineChars="200"/>
        <w:rPr>
          <w:color w:val="ff0000"/>
          <w:sz w:val="21"/>
          <w:lang w:val="en-US" w:eastAsia="zh-CN" w:bidi="ar-SA"/>
          <w:szCs w:val="21"/>
          <w:kern w:val="2"/>
          <w:rFonts w:ascii="宋体" w:hAnsi="宋体" w:eastAsia="宋体" w:hint="eastAsia"/>
        </w:rPr>
      </w:pPr>
      <w:r>
        <w:rPr>
          <w:color w:val="242424"/>
          <w:sz w:val="21"/>
          <w:lang w:val="en-US" w:eastAsia="zh-CN"/>
          <w:szCs w:val="21"/>
          <w:rFonts w:ascii="宋体" w:hAnsi="宋体" w:eastAsia="宋体" w:hint="eastAsia"/>
        </w:rPr>
        <w:t>7、数智可视化展示大屏可根据实际屏幕大小、比例作自适应页面展示，并配合采购人需求做相应比例的页面排版和配置。</w:t>
      </w:r>
    </w:p>
    <w:p>
      <w:pPr>
        <w:pStyle w:val="Normal"/>
        <w:widowControl w:val="1"/>
        <w:pageBreakBefore w:val="0"/>
        <w:wordWrap w:val="1"/>
        <w:overflowPunct w:val="1"/>
        <w:topLinePunct w:val="0"/>
        <w:kinsoku w:val="1"/>
        <w:bidi w:val="0"/>
        <w:snapToGrid w:val="1"/>
        <w:jc w:val="start"/>
        <w:widowControl/>
        <w:spacing w:line="240" w:lineRule="auto"/>
        <w:ind w:firstLine="422" w:firstLineChars="200"/>
        <w:rPr>
          <w:b w:val="1"/>
          <w:color w:val="ff0000"/>
          <w:sz w:val="21"/>
          <w:lang w:eastAsia="zh-CN"/>
          <w:szCs w:val="21"/>
          <w:kern w:val="0"/>
          <w:rFonts w:ascii="宋体" w:hAnsi="宋体" w:eastAsia="宋体" w:hint="eastAsia"/>
        </w:rPr>
      </w:pPr>
      <w:r>
        <w:rPr>
          <w:b w:val="1"/>
          <w:color w:val="242424"/>
          <w:sz w:val="21"/>
          <w:szCs w:val="21"/>
          <w:bCs/>
          <w:rFonts w:ascii="宋体" w:hAnsi="宋体" w:eastAsia="宋体" w:hint="eastAsia"/>
        </w:rPr>
        <w:t>三、商务条件</w:t>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line="240" w:lineRule="auto"/>
        <w:ind w:firstLine="420" w:firstLineChars="200"/>
        <w:rPr>
          <w:color w:val="ff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1、交付地点： 福州职业技术学院</w:t>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line="240" w:lineRule="auto"/>
        <w:ind w:firstLine="420" w:firstLineChars="200"/>
        <w:rPr>
          <w:color w:val="ff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2、交付时间：合同签订后30天内完成。</w:t>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line="240" w:lineRule="auto"/>
        <w:ind w:firstLine="420" w:firstLineChars="200"/>
        <w:rPr>
          <w:color w:val="ff0000"/>
          <w:sz w:val="21"/>
          <w:lang w:val="en-US" w:eastAsia="zh-CN"/>
          <w:szCs w:val="21"/>
          <w:rFonts w:ascii="宋体" w:hAnsi="宋体" w:eastAsia="宋体" w:hint="eastAsia"/>
        </w:rPr>
      </w:pPr>
      <w:r>
        <w:rPr>
          <w:color w:val="242424"/>
          <w:sz w:val="21"/>
          <w:lang w:eastAsia="zh-CN"/>
          <w:szCs w:val="21"/>
          <w:rFonts w:ascii="宋体" w:hAnsi="宋体" w:eastAsia="宋体" w:hint="eastAsia"/>
        </w:rPr>
        <w:t>3、交付条件：验收合格交付采购人使用。</w:t>
      </w:r>
    </w:p>
    <w:p>
      <w:pPr>
        <w:pStyle w:val="UserStyle_13"/>
        <w:keepNext w:val="0"/>
        <w:keepLines w:val="0"/>
        <w:pageBreakBefore w:val="0"/>
        <w:wordWrap w:val="1"/>
        <w:overflowPunct w:val="1"/>
        <w:topLinePunct w:val="0"/>
        <w:kinsoku w:val="1"/>
        <w:bidi w:val="0"/>
        <w:snapToGrid w:val="1"/>
        <w:spacing w:line="240" w:lineRule="auto"/>
        <w:ind w:firstLine="420" w:firstLineChars="200" w:right="0" w:rightChars="0"/>
        <w:rPr>
          <w:b w:val="0"/>
          <w:color w:val="ff0000"/>
          <w:sz w:val="21"/>
          <w:lang w:val="en-US" w:eastAsia="zh-CN"/>
          <w:szCs w:val="21"/>
          <w:bCs w:val="0"/>
          <w:rFonts w:ascii="宋体" w:hAnsi="宋体" w:eastAsia="宋体" w:hint="eastAsia"/>
        </w:rPr>
      </w:pPr>
      <w:r>
        <w:rPr>
          <w:b w:val="0"/>
          <w:color w:val="242424"/>
          <w:sz w:val="21"/>
          <w:lang w:eastAsia="zh-CN"/>
          <w:szCs w:val="21"/>
          <w:bCs w:val="0"/>
          <w:rFonts w:ascii="宋体" w:hAnsi="宋体" w:eastAsia="宋体" w:hint="eastAsia"/>
        </w:rPr>
        <w:t>4、付款方式与条件：</w:t>
      </w:r>
    </w:p>
    <w:p>
      <w:pPr>
        <w:pStyle w:val="Normal"/>
        <w:spacing w:line="240" w:lineRule="auto"/>
        <w:ind w:firstLine="315" w:firstLineChars="150"/>
        <w:rPr>
          <w:color w:val="ff0000"/>
          <w:sz w:val="21"/>
          <w:szCs w:val="21"/>
          <w:rFonts w:ascii="宋体" w:hAnsi="宋体" w:eastAsia="宋体" w:hint="eastAsia"/>
        </w:rPr>
      </w:pPr>
      <w:r>
        <w:rPr>
          <w:color w:val="242424"/>
          <w:sz w:val="21"/>
          <w:szCs w:val="21"/>
          <w:rFonts w:ascii="宋体" w:hAnsi="宋体" w:eastAsia="宋体" w:hint="eastAsia"/>
        </w:rPr>
        <w:t xml:space="preserve"> 4.1付款方式：完成招标内容及技术参数中所有服务内容，并经验收合格后，15个工作日内采购人凭验收凭证等材料以转账方式向中标人一次性支付100%的货物价款。</w:t>
      </w:r>
    </w:p>
    <w:p>
      <w:pPr>
        <w:pStyle w:val="UserStyle_15"/>
        <w:spacing w:line="240" w:lineRule="auto"/>
        <w:ind w:firstLine="420" w:firstLineChars="200"/>
        <w:rPr>
          <w:color w:val="ff0000"/>
          <w:sz w:val="21"/>
          <w:lang w:val="en-US" w:eastAsia="zh-CN"/>
          <w:szCs w:val="21"/>
          <w:rFonts w:ascii="宋体" w:hAnsi="宋体" w:eastAsia="宋体" w:hint="eastAsia"/>
        </w:rPr>
      </w:pPr>
      <w:r>
        <w:rPr>
          <w:color w:val="242424"/>
          <w:sz w:val="21"/>
          <w:szCs w:val="21"/>
          <w:rFonts w:ascii="宋体" w:hAnsi="宋体" w:eastAsia="宋体" w:hint="eastAsia"/>
        </w:rPr>
        <w:t>4.2付款条件：金额为有关合同货物价格100%的正式发票。</w:t>
      </w:r>
    </w:p>
    <w:p>
      <w:pPr>
        <w:pStyle w:val="Normal"/>
        <w:widowControl w:val="0"/>
        <w:keepNext w:val="0"/>
        <w:keepLines w:val="0"/>
        <w:pageBreakBefore w:val="0"/>
        <w:wordWrap w:val="1"/>
        <w:overflowPunct w:val="1"/>
        <w:topLinePunct w:val="0"/>
        <w:kinsoku w:val="1"/>
        <w:autoSpaceDE w:val="1"/>
        <w:autoSpaceDN w:val="1"/>
        <w:bidi w:val="0"/>
        <w:snapToGrid w:val="1"/>
        <w:widowControl w:val="off"/>
        <w:numPr>
          <w:ilvl w:val="0"/>
          <w:numId w:val="0"/>
        </w:numPr>
        <w:spacing w:line="240" w:lineRule="auto"/>
        <w:ind w:firstLine="0" w:firstLineChars="0"/>
        <w:rPr>
          <w:color w:val="ff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 xml:space="preserve">    </w:t>
      </w:r>
      <w:r>
        <w:rPr>
          <w:b w:val="1"/>
          <w:color w:val="242424"/>
          <w:sz w:val="21"/>
          <w:lang w:val="en-US" w:eastAsia="zh-CN"/>
          <w:szCs w:val="21"/>
          <w:bCs/>
          <w:rFonts w:ascii="宋体" w:hAnsi="宋体" w:eastAsia="宋体" w:hint="eastAsia"/>
        </w:rPr>
        <w:t>5、售后服务</w:t>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5.1项目验收完成之后，中标人应为本系统工程及其他服务成果提供为期3年的质保服务。</w:t>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5.2在质保期内，中标人应向采购人提供全面、有效、及时的技术支持和服务。中标人应说明售后服务和技术支持的范围和程度。</w:t>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5.3在质保期内，如果系统发生故障，中标人要调查故障原因并修复直至满足最终验收指标和性能的要求，或者更换整个或部分有缺陷的软件。以上都应是免费的。</w:t>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如采购人对系统有改进、增加新功能以及适应ITU－T、ISO等新标准的需求，中标人应承诺免费实现。</w:t>
      </w:r>
    </w:p>
    <w:p>
      <w:pPr>
        <w:pStyle w:val="Normal"/>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5.4中标人需向采购人所提出的售后服务要求做出实质性响应，有责任指定专业人员到现场指导系统的维护工作，提供免费质保服务。同时提供长期的技术支持服务。</w:t>
      </w:r>
    </w:p>
    <w:p>
      <w:pPr>
        <w:pStyle w:val="Normal"/>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注：在项目质保期内，中标人需提供至少1位售后工程师，负责系统运维调优、系统运营的人员驻场服务。</w:t>
      </w:r>
    </w:p>
    <w:p>
      <w:pPr>
        <w:pStyle w:val="Normal"/>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5.5在系统测试运行、试运行和质保期内，中标人应提供7×24小时技术支持服务采购人，保证在任何时候采购人员都能及时联系到中标人的工程师。</w:t>
      </w:r>
    </w:p>
    <w:p>
      <w:pPr>
        <w:pStyle w:val="Normal"/>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同时需派技术人员到现场指导维护工作，并提供5×8小时技术支持服务以解决本项目系统部署可能存在的部分缺陷问题。</w:t>
      </w:r>
    </w:p>
    <w:p>
      <w:pPr>
        <w:pStyle w:val="Normal"/>
        <w:jc w:val="start"/>
        <w:spacing w:line="240" w:lineRule="auto"/>
        <w:ind w:firstLine="422" w:firstLineChars="200"/>
        <w:rPr>
          <w:b w:val="1"/>
          <w:color w:val="ff0000"/>
          <w:sz w:val="21"/>
          <w:szCs w:val="21"/>
          <w:bCs/>
          <w:rFonts w:ascii="宋体" w:hAnsi="宋体" w:eastAsia="宋体" w:hint="eastAsia"/>
        </w:rPr>
      </w:pPr>
      <w:bookmarkStart w:name="_Toc25559" w:id="14"/>
      <w:bookmarkStart w:name="_Toc28748" w:id="15"/>
      <w:bookmarkEnd w:id="14"/>
      <w:bookmarkEnd w:id="15"/>
      <w:r>
        <w:rPr>
          <w:b w:val="1"/>
          <w:color w:val="242424"/>
          <w:sz w:val="21"/>
          <w:szCs w:val="21"/>
          <w:bCs/>
          <w:rFonts w:ascii="宋体" w:hAnsi="宋体" w:eastAsia="宋体" w:hint="eastAsia"/>
        </w:rPr>
        <w:t>6.可能涉及的实施运维、升级更新等后续采购情况</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6.1 安全性、可靠性、经济性要求</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要求提供系统全生命周期内的BUG及安全漏洞消除、提供相关库（包含但不限于病毒库、各种特征库等）更新服务、软件版本的升级服务、接口开放对接、软件正版授权、应用定制、业务修订、产品安全应急响应、业务流程的重新适配等内容和相关费用测算；</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（2）中标人应承担对采购人的保密义务，包括但不限于对系统架构、部署情况、数据、策略、参数等的保密义务；</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3）中标人应规范操作采购人数据，不得越权或越界操作；未经授权不得查询、获取、存储、传输采购人数据，不得向第三方泄露采购人数据；个人信息收集、管理和使用应遵循《个人信息保护法》的个人信息处理基本原则；</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（4）系统中使用的软件产品或组件必须符合国家有关知识产权的相关法律法规；中标人保证知识产权的合法性并承担可能侵权的责任。</w:t>
      </w:r>
    </w:p>
    <w:p>
      <w:pPr>
        <w:pStyle w:val="Normal"/>
        <w:tabs>
          <w:tab w:val="left" w:pos="0"/>
        </w:tabs>
        <w:spacing w:line="240" w:lineRule="auto"/>
        <w:ind w:firstLine="420" w:firstLineChars="200"/>
        <w:rPr>
          <w:color w:val="ff0000"/>
          <w:sz w:val="21"/>
          <w:szCs w:val="21"/>
          <w:rFonts w:ascii="宋体" w:hAnsi="宋体" w:eastAsia="宋体" w:hint="eastAsia"/>
        </w:rPr>
      </w:pPr>
      <w:bookmarkStart w:name="_Toc70196816" w:id="16"/>
      <w:bookmarkStart w:name="_Toc78273801" w:id="17"/>
      <w:bookmarkEnd w:id="16"/>
      <w:bookmarkEnd w:id="17"/>
      <w:r>
        <w:rPr>
          <w:color w:val="242424"/>
          <w:sz w:val="21"/>
          <w:szCs w:val="21"/>
          <w:rFonts w:ascii="宋体" w:hAnsi="宋体" w:eastAsia="宋体" w:hint="eastAsia"/>
        </w:rPr>
        <w:t>6.2兼容对接要求</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（1）升级改造部分必须与现有系统兼容对接、不得要求变动原有系统软件或硬件或配置的方案；</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（2）要求所有数据接口无条件免费向采购人开放使用；日后扩充各种点位时，提供免费接入授权且数量无限制；</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（3）要求所有的数据库建立、数据格式、各种功能定制等，均必须符合采购人数据标准与规范，接受采购人的业务指导；充分考虑与采购人的数据格式互通，严禁形成数据孤岛；</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（4）新建业务系统按照采购人需求实现与现有信息化相关子系统或数据的对接，并承担与第三方对接合作的费用；</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5）通用器件（如硬盘等非自行生产或OEM第三方的器件），必须支持即插即用式替换，不得设置技术障碍（如设置私有协议、建立私有硬件接口等）或服务歧视政策（如用户采用第三方通用器件后拒绝售后服务等）；</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6.3人员要求</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人员要求必须为中标人的自有在册在岗员工，不接受第三方的临时人员（提供人员最近半年的社保证明）、不接受转包；中标生效后必须按采购人要求一周内到采购人现场。提供第三方人员的、人员不能及时到采购人现场的，按虚假响应处理；</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2）项目开始进入实施后相关成员应按需驻场进行实施，为保证项目的实施质量，实施驻场人员至少包括项目经理1名，具有流程服务开发、实施经验的实施工程师1名，具有数据治理服务实施经验的实施工程师1名，具有美工设计经验的实施工程师1名。驻场维保服务人员应遵守采购人工作时间或值班安排，进行签到，驻场人员没有按要求遵守采购人工作时间或值班安排，进行签到的，按虚假响应处理，特殊情况下随时响应，接受采购人的考核；</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（3）项目经理必须为自有在册固定人员，项目完成验收前非不可抗力不得中途更换；项目经理到岗时需承诺不得同时兼任其他项目的成员。</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6.4项目维保要求</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所有项目均包含3年以上免费质保（主要设备及核心软件原则上为原厂质保）及版本更新、维保期内内业务的随时定制和修订、BUG消除、产品安全应急响应、业务流程的重新适配等相关服务，终身维修维护、软件终身免费维护及升级；平台故障报修在2小时内响应，2个工作日内解决问题。</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6.5其他相关情况</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（1）若无特殊需求，系统服务器应运行在采购人智慧校园云平台上；</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（2）系统应符合采购人信息化的统一身份认证、数据交换、集成规范和标准；</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（3）系统应遵循采购人信息化编码标准和代码开发标准；</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（4）升级改造部分须与现有系统对接；</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5）产品应符合采购人信息化数据交换、集成的规范和标准；数据接口、数据库超级管理员账号密码、数据字典等在此项目建设过程中产生的任何数据资产无条件对采购人开放，数据接入采购人数据中心，并保证在维保期内配合采购人开展数据对接和数据治理工作，数据对接和数据治理工作费用包含在此项目中标价内；</w:t>
      </w:r>
    </w:p>
    <w:p>
      <w:pPr>
        <w:pStyle w:val="Normal"/>
        <w:tabs>
          <w:tab w:val="left" w:pos="0"/>
        </w:tabs>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（6）通用器件必须支持即插即用式替换，不得设置技术障碍（如设置私有协议、建立私有硬件接口等）；</w:t>
      </w:r>
    </w:p>
    <w:p>
      <w:pPr>
        <w:pStyle w:val="Normal"/>
        <w:outlineLvl w:val="0"/>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（7）使用正版授权软件。</w:t>
      </w:r>
    </w:p>
    <w:p>
      <w:pPr>
        <w:pStyle w:val="UserStyle_15"/>
        <w:widowControl w:val="0"/>
        <w:keepNext w:val="0"/>
        <w:keepLines w:val="0"/>
        <w:pageBreakBefore w:val="0"/>
        <w:wordWrap w:val="1"/>
        <w:overflowPunct w:val="1"/>
        <w:topLinePunct w:val="0"/>
        <w:kinsoku w:val="1"/>
        <w:autoSpaceDE w:val="1"/>
        <w:autoSpaceDN w:val="1"/>
        <w:bidi w:val="0"/>
        <w:snapToGrid w:val="1"/>
        <w:widowControl w:val="off"/>
        <w:numPr>
          <w:ilvl w:val="0"/>
          <w:numId w:val="0"/>
        </w:numPr>
        <w:spacing w:line="240" w:lineRule="auto"/>
        <w:ind w:firstLine="420" w:firstLineChars="200"/>
        <w:rPr>
          <w:color w:val="ff0000"/>
          <w:sz w:val="21"/>
          <w:lang w:val="en-US" w:eastAsia="zh-CN"/>
          <w:szCs w:val="21"/>
          <w:rFonts w:ascii="宋体" w:hAnsi="宋体" w:eastAsia="宋体" w:hint="eastAsia"/>
        </w:rPr>
      </w:pPr>
      <w:r>
        <w:rPr>
          <w:color w:val="242424"/>
          <w:sz w:val="21"/>
          <w:lang w:val="en-US" w:eastAsia="zh-CN"/>
          <w:szCs w:val="21"/>
          <w:rFonts w:ascii="宋体" w:hAnsi="宋体" w:eastAsia="宋体" w:hint="eastAsia"/>
        </w:rPr>
        <w:t xml:space="preserve">7、</w:t>
      </w:r>
      <w:r>
        <w:rPr>
          <w:b w:val="1"/>
          <w:color w:val="242424"/>
          <w:sz w:val="21"/>
          <w:lang w:val="en-US" w:eastAsia="zh-CN"/>
          <w:szCs w:val="21"/>
          <w:bCs/>
          <w:rFonts w:ascii="宋体" w:hAnsi="宋体" w:eastAsia="宋体" w:hint="eastAsia"/>
        </w:rPr>
        <w:t>质保期：免费保修期为3年（从货到验收合格之日起算)。</w:t>
      </w:r>
    </w:p>
    <w:p>
      <w:pPr>
        <w:pStyle w:val="Normal"/>
        <w:jc w:val="start"/>
        <w:ind w:firstLine="420" w:firstLineChars="0"/>
        <w:rPr>
          <w:b w:val="1"/>
          <w:color w:val="ff0000"/>
          <w:sz w:val="21"/>
          <w:lang w:val="en-US" w:eastAsia="zh-CN"/>
          <w:szCs w:val="21"/>
          <w:bCs/>
          <w:rFonts w:ascii="宋体" w:hAnsi="宋体" w:eastAsia="宋体" w:hint="eastAsia"/>
        </w:rPr>
      </w:pPr>
      <w:r>
        <w:rPr>
          <w:b w:val="1"/>
          <w:color w:val="242424"/>
          <w:sz w:val="21"/>
          <w:szCs w:val="21"/>
          <w:bCs/>
          <w:rFonts w:ascii="宋体" w:hAnsi="宋体" w:eastAsia="宋体" w:hint="eastAsia"/>
        </w:rPr>
        <w:t>8、验收要求</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8.1验收标准</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8.1.1中标人所提供的产品必须是原装、全新的正品，符合国家的有关标准。标准：本合同所指的产品及服务应符合合同的技术规格所述的标准，如果没有提及适用标准，则应符合中华人民共和国国家标准或行业标准；如果中华人民共和国没有相关标准的，则采用产品来源国适用的官方标准。这些标准必须是有关机构发布的最新版本的标准。</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8.1.2中标人所提供的产品均由中标人免费安装至采购人指定的位置。</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8.1.3本合同价为固定价，不受时间、物价升降等因素的影响，中标人需按所报清单上所列品种供货，不准以其它同类型代替。</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8.1.4中标人应在供货同时向采购人提供所有有关本合同执行的技术文件。如果项目必需但合同又未作规定的要中标人才能提供的技术文件，中标人也应及时向采购人提供。技术文件可以是手册、说明、其他形式的文件资料。</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8.1.5上述技术文件应包含保证采购人能够正确进行使用、检查、测试、验收的需要的所有内容。</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8.1.6所有中标人提供的技术文件的全部费用已包含在合同总价中。</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8.1.7所有未列明交付时间的中标人应提供的技术文件，必须单独包装伴随产品按产品交付时间交付给采购人。技术文件未提供给采购人的，视为中标人未完全履行交付义务。</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8.1.8到货后采购人如发现中标人未提供有关文件，可以推迟付款，直至中标人补齐有关文件</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8.2验收方案</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8.2.1.供货验收：产品部署至采购人指 定位置后，中标人和采购人一同对其全部产品、数量、功能等进行到货验收。中标人应负责在项目验收时将系统的全部有关技术文件、资料、及安装、测试报告等文档汇集成册交付项目单位。</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8.2.2.试运行：中标人应对产品的整体性能和功能进行自检，自检结果必须符合招标文件要求及合同中的相关条款，自检合格后，转入为期5天的试运行。试运行结束后，中标人应向采购人提交自检记录和试运行记录，并提出验收申请。</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8.2.3.最终验收</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采购人在收到中标人的验收申请后15个工作日内，采购人和中标人共同进行设备的验收。相关验收程序如下：</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8.2.3.1验收准备。按照具体时间、地点开验收工作准备会，明确验收内容和人员分工。</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8.2.3.2实地验收。根据准备会明确的分工和验收内容，按照采购合同的约定对每一项技术、服务、安全标准的履约情况开展核对工作。现场查看产品，核对产品功能、数量等相关信息是否一致，视实际条件抽测主要技术参数。</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8.2.3.3验收总结。验收工作完成后，召开验收总结会，由验收小组成员汇报验收情况，认真填写验收报告，验收结果经双方确认后，双方代表必须按规定的验收交接单上的项目对照本合同填好验收结果并签名盖章。验收过程中，若发现产品质量有问题中标人应无条件于7天内免费更换，重新检测并调试清楚后重新提交验收申请。在此期间，中标人在采购人现场进行安装、调试、集成、试运行直至验收所发生的一切费用由中标人承担且已含在投标总价中。</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8.3履约验收内容</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8.3.1验收内容根据中标文件及采购合同清单进行验收，验收内容包括：</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(1)产品功能、数量、技术参数核对及检测验收。</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(2)检测对应设备安装到位情况，设备功能实现效果检测验收。</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(3)软件功能实现效果结合软件功能清单进行验收。</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(4)设备清单中要求的设备配套使用文档及操作视频。</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 xml:space="preserve">(5)合同中对应项目人员培训执行清单。  </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8.3.2履约验收标准</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项目履约验收标准采用合同、招标文件所约定设备清单、技术参数、功能、数量，安装、调整、培训及售后、服务相关条款进行履约验收。</w:t>
      </w:r>
    </w:p>
    <w:p>
      <w:pPr>
        <w:pStyle w:val="Normal"/>
        <w:jc w:val="start"/>
        <w:ind w:firstLine="420" w:firstLineChars="0"/>
        <w:rPr>
          <w:b w:val="1"/>
          <w:color w:val="ff0000"/>
          <w:sz w:val="21"/>
          <w:lang w:eastAsia="zh-CN"/>
          <w:szCs w:val="21"/>
          <w:bCs/>
          <w:rFonts w:ascii="宋体" w:hAnsi="宋体" w:eastAsia="宋体" w:hint="eastAsia"/>
        </w:rPr>
      </w:pPr>
      <w:r>
        <w:rPr>
          <w:b w:val="1"/>
          <w:color w:val="242424"/>
          <w:sz w:val="21"/>
          <w:szCs w:val="21"/>
          <w:bCs/>
          <w:rFonts w:ascii="宋体" w:hAnsi="宋体" w:eastAsia="宋体" w:hint="eastAsia"/>
        </w:rPr>
        <w:t>9、检验与测试</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9.1交货时，中标人应就产品的质量、规格、性能、数量等进行详细而全面的检验。</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9.2采购人或其代表有权检验和测试产品，以确认产品是否符合要求，由此产生的费用由中标人承担。</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9.3如果任何被检验或测试的产品不能满足要求，采购人可以拒绝接受该产品，中标人应更换被拒绝的产品，以满足要求。</w:t>
      </w:r>
    </w:p>
    <w:p>
      <w:pPr>
        <w:pStyle w:val="Normal"/>
        <w:jc w:val="start"/>
        <w:ind w:firstLine="420" w:firstLineChars="0"/>
        <w:rPr>
          <w:b w:val="1"/>
          <w:color w:val="ff0000"/>
          <w:sz w:val="21"/>
          <w:lang w:eastAsia="zh-CN"/>
          <w:szCs w:val="21"/>
          <w:bCs/>
          <w:rFonts w:ascii="宋体" w:hAnsi="宋体" w:eastAsia="宋体" w:hint="eastAsia"/>
        </w:rPr>
      </w:pPr>
      <w:r>
        <w:rPr>
          <w:b w:val="1"/>
          <w:color w:val="242424"/>
          <w:sz w:val="21"/>
          <w:szCs w:val="21"/>
          <w:bCs/>
          <w:rFonts w:ascii="宋体" w:hAnsi="宋体" w:eastAsia="宋体" w:hint="eastAsia"/>
        </w:rPr>
        <w:t>10、知识产权</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10.1中标人须保障采购人在使用该产品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10.2中标人为执行本合同而提供的技术资料、软件、系统、数据等，采购人终身有权进行使用，中标人不得主张任何费用。</w:t>
      </w:r>
    </w:p>
    <w:p>
      <w:pPr>
        <w:pStyle w:val="Normal"/>
        <w:jc w:val="start"/>
        <w:ind w:firstLine="420" w:firstLineChars="0"/>
        <w:rPr>
          <w:b w:val="1"/>
          <w:color w:val="ff0000"/>
          <w:sz w:val="21"/>
          <w:lang w:eastAsia="zh-CN"/>
          <w:szCs w:val="21"/>
          <w:bCs/>
          <w:rFonts w:ascii="宋体" w:hAnsi="宋体" w:eastAsia="宋体" w:hint="eastAsia"/>
        </w:rPr>
      </w:pPr>
      <w:r>
        <w:rPr>
          <w:b w:val="1"/>
          <w:color w:val="242424"/>
          <w:sz w:val="21"/>
          <w:szCs w:val="21"/>
          <w:bCs/>
          <w:rFonts w:ascii="宋体" w:hAnsi="宋体" w:eastAsia="宋体" w:hint="eastAsia"/>
        </w:rPr>
        <w:t>11、产权与风险转移</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合同标的产权与风险转移遵守如下约定：</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11.1.产品的产权以及损坏、灭失的风险在产品通过验收并交付使用前归属于中标人，在产品通过验收并交付使用时起由中标人转移至采购人。</w:t>
      </w:r>
    </w:p>
    <w:p>
      <w:pPr>
        <w:pStyle w:val="Normal"/>
        <w:jc w:val="start"/>
        <w:spacing w:line="240" w:lineRule="auto"/>
        <w:ind w:firstLine="420" w:firstLineChars="200"/>
        <w:rPr>
          <w:color w:val="ff0000"/>
          <w:sz w:val="21"/>
          <w:lang w:eastAsia="zh-CN"/>
          <w:szCs w:val="21"/>
          <w:rFonts w:ascii="宋体" w:hAnsi="宋体" w:eastAsia="宋体" w:hint="eastAsia"/>
        </w:rPr>
      </w:pPr>
      <w:r>
        <w:rPr>
          <w:color w:val="242424"/>
          <w:sz w:val="21"/>
          <w:szCs w:val="21"/>
          <w:rFonts w:ascii="宋体" w:hAnsi="宋体" w:eastAsia="宋体" w:hint="eastAsia"/>
        </w:rPr>
        <w:t>11.2产权和风险的转移，不影响因中标人履行义务不符合约定，采购人要求其承担违约责任的权利。</w:t>
      </w:r>
    </w:p>
    <w:p>
      <w:pPr>
        <w:pStyle w:val="Normal"/>
        <w:jc w:val="start"/>
        <w:ind w:firstLine="420" w:firstLineChars="0"/>
        <w:rPr>
          <w:color w:val="ff0000"/>
          <w:sz w:val="21"/>
          <w:lang w:eastAsia="zh-CN"/>
          <w:szCs w:val="21"/>
          <w:rFonts w:ascii="宋体" w:hAnsi="宋体" w:eastAsia="宋体" w:hint="eastAsia"/>
        </w:rPr>
      </w:pPr>
      <w:r>
        <w:rPr>
          <w:color w:val="242424"/>
          <w:sz w:val="21"/>
          <w:szCs w:val="21"/>
          <w:rFonts w:ascii="宋体" w:hAnsi="宋体" w:eastAsia="宋体" w:hint="eastAsia"/>
        </w:rPr>
        <w:t>12、保密</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12.1.未经采购人事先书面同意，中标人不得将由采购人为本合同提供的条文、规格、计划、资料、数据提供给与本合同无关的任何第三方，不得将其用于履行本合同之外的其它用途。即使向与履行本合同有关的人员提供，也应注意保密并限于履行合同所必需的范围。</w:t>
      </w:r>
    </w:p>
    <w:p>
      <w:pPr>
        <w:pStyle w:val="Normal"/>
        <w:jc w:val="start"/>
        <w:spacing w:line="240" w:lineRule="auto"/>
        <w:ind w:firstLine="420" w:firstLineChars="200"/>
        <w:rPr>
          <w:color w:val="ff0000"/>
          <w:sz w:val="21"/>
          <w:lang w:val="en-US" w:eastAsia="zh-CN"/>
          <w:szCs w:val="21"/>
          <w:rFonts w:ascii="宋体" w:hAnsi="宋体" w:eastAsia="宋体" w:hint="eastAsia"/>
        </w:rPr>
      </w:pPr>
      <w:r>
        <w:rPr>
          <w:color w:val="242424"/>
          <w:sz w:val="21"/>
          <w:szCs w:val="21"/>
          <w:rFonts w:ascii="宋体" w:hAnsi="宋体" w:eastAsia="宋体" w:hint="eastAsia"/>
        </w:rPr>
        <w:t>12.2.除了合同本身之外，上款所列举的任何物件均是采购人的财产。如果采购人有要求，中标人在收到采购人的要求后10日内应将这些物件及全部复制件还给采购人，不得留存任何备份。</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12.3.中标人违反本保密条款的，应支付合同总金额10%的违约金，并赔偿由此给采购人造成的任何损失。本条款在本合同履行期间至履行结束后均有效。</w:t>
      </w:r>
    </w:p>
    <w:p>
      <w:pPr>
        <w:pStyle w:val="Normal"/>
        <w:jc w:val="start"/>
        <w:ind w:firstLine="420" w:firstLineChars="0"/>
        <w:rPr>
          <w:b w:val="1"/>
          <w:color w:val="ff0000"/>
          <w:sz w:val="21"/>
          <w:lang w:eastAsia="zh-CN"/>
          <w:szCs w:val="21"/>
          <w:bCs/>
          <w:rFonts w:ascii="宋体" w:hAnsi="宋体" w:eastAsia="宋体" w:hint="eastAsia"/>
        </w:rPr>
      </w:pPr>
      <w:r>
        <w:rPr>
          <w:b w:val="1"/>
          <w:color w:val="242424"/>
          <w:sz w:val="21"/>
          <w:szCs w:val="21"/>
          <w:bCs/>
          <w:rFonts w:ascii="宋体" w:hAnsi="宋体" w:eastAsia="宋体" w:hint="eastAsia"/>
        </w:rPr>
        <w:t>13、违约责任</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13.1交货不符合约定或存在缺陷的</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中标人对所供产品与合同要求不符负有责任，如经检验证实不符或缺陷存在的，包括潜在的缺陷或使用不合适的功能等，采购人可根据本合同有关质量保证或检验、验收的规定，选择下述一种或多种结合的方法解决索赔事宜：</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13.1.1采购人要求退货并解除合同的，中标人应承担因退货而发生的一切损失和费用，包括利息、银行手续费、检验费以及为保管、维护和退回被拒收产品所发生的其它必要费用，且还应向采购人支付合同金额5%的违约金。</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13.1.2中标人收到采购人书面索赔通知后7天内，未给采购人答复的，视为索赔已被中标人接受。采购人将有权从中标人履约保证金中扣除相关索赔金额，同时保留进一步要求索赔的权利。</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13.2逾期交货及逾期付款的赔偿</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13.2.1除不可抗力因素外，如果中标人不能按照合同规定的时间交付和提供服务，应及时以书面形式将逾期的事实、可能逾期的时间和原因通知采购人。采购人收到中标人通知后，将尽快作出评价，决定是否同意延长交货期及收取逾期赔偿费，逾期赔偿费的金额为采购人所遭受的所有损失。采购人在不影响合同项下的其它补救措施情况下，可从合同未付款中扣除逾期违约金，违约金按未交付产品价款的2%/天计算，逾期期限一旦达到30天，采购人有权解除合同，且中标人仍应按合同约定支付违约金。违约金的支付不影响采购人向中标人要求损害赔偿。</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13.2.2中标人未按约定提供售后 服务或给第三方造成损害的：</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如果中标人未能按照合同约定的时间提供售后 服务的，每逾期1天，中标人应向采购人支付本合同总额2%的违约金，若因此给采购人造成损失的，中标人还应赔偿采购人所受的损失。</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保修期内，中标人未尽保修义务的，采购人可自行寻求解决，中标人应承担自采购人提出故障申告至采购人自行解决相应故障期间内的违约金并赔偿采购人损失，采购人由此产生的费用，由中标人承担。</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13.2.3采购人逾期付款的(有正当拒付理由的除外)应按照逾期金额的每日0.5%支付逾期付款违约金。</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13.3因中标人管理不当，致使产品的生产、包装、仓储、运输、装卸、安装、调试及验收过程中导致第三方权益受损的(如安全事故)，中标人除应赔偿第三方相应的损失外，还应向采购人支付本合同总额5%的违约金。</w:t>
      </w:r>
    </w:p>
    <w:p>
      <w:pPr>
        <w:pStyle w:val="Normal"/>
        <w:jc w:val="start"/>
        <w:spacing w:line="240" w:lineRule="auto"/>
        <w:ind w:firstLine="420" w:firstLineChars="200"/>
        <w:rPr>
          <w:color w:val="ff0000"/>
          <w:sz w:val="21"/>
          <w:szCs w:val="21"/>
          <w:rFonts w:ascii="宋体" w:hAnsi="宋体" w:eastAsia="宋体" w:hint="eastAsia"/>
        </w:rPr>
      </w:pPr>
      <w:r>
        <w:rPr>
          <w:color w:val="242424"/>
          <w:sz w:val="21"/>
          <w:szCs w:val="21"/>
          <w:rFonts w:ascii="宋体" w:hAnsi="宋体" w:eastAsia="宋体" w:hint="eastAsia"/>
        </w:rPr>
        <w:t>13.4产品在安装及后续运行过程中，若因为产品问题造成采购人损失的，采购人有权向中标人要求赔偿(包括但不限于赔偿损失、诉讼费、律师费等)。</w:t>
      </w:r>
    </w:p>
    <w:p>
      <w:pPr>
        <w:pStyle w:val="Normal"/>
        <w:pageBreakBefore w:val="0"/>
        <w:wordWrap w:val="1"/>
        <w:overflowPunct w:val="1"/>
        <w:topLinePunct w:val="0"/>
        <w:kinsoku w:val="1"/>
        <w:bidi w:val="0"/>
        <w:snapToGrid w:val="1"/>
        <w:spacing w:line="240" w:lineRule="auto"/>
        <w:ind w:firstLine="422" w:firstLineChars="200"/>
        <w:rPr>
          <w:b w:val="1"/>
          <w:color w:val="000000"/>
          <w:sz w:val="21"/>
          <w:lang w:val="en-US" w:eastAsia="zh-CN"/>
          <w:szCs w:val="21"/>
          <w:kern w:val="0"/>
          <w:bCs/>
          <w:rFonts w:ascii="宋体" w:hAnsi="宋体" w:eastAsia="宋体" w:hint="eastAsia"/>
        </w:rPr>
      </w:pPr>
      <w:r>
        <w:rPr>
          <w:b w:val="1"/>
          <w:color w:val="242424"/>
          <w:sz w:val="21"/>
          <w:lang w:val="en-US" w:eastAsia="zh-CN"/>
          <w:szCs w:val="21"/>
          <w:kern w:val="0"/>
          <w:bCs/>
          <w:rFonts w:ascii="宋体" w:hAnsi="宋体" w:eastAsia="宋体" w:hint="eastAsia"/>
        </w:rPr>
        <w:t>四、其他要求：</w:t>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line="240" w:lineRule="auto"/>
        <w:ind w:firstLine="420" w:firstLineChars="200"/>
        <w:rPr>
          <w:color w:val="000000"/>
          <w:sz w:val="21"/>
          <w:lang w:val="en-US" w:eastAsia="zh-CN"/>
          <w:szCs w:val="21"/>
          <w:rFonts w:ascii="宋体" w:hAnsi="宋体" w:eastAsia="宋体" w:hint="eastAsia"/>
        </w:rPr>
      </w:pPr>
      <w:r>
        <w:rPr>
          <w:color w:val="242424"/>
          <w:sz w:val="21"/>
          <w:szCs w:val="21"/>
          <w:rFonts w:ascii="宋体" w:hAnsi="宋体" w:eastAsia="宋体" w:hint="eastAsia"/>
        </w:rPr>
        <w:t>1、除竞价采购文件另有规定外，若出现有关法律、法规和规章有强制性规定但竞价采购文件未列明的情形，则报价人应按照有关法律、法规和规章强制性规定执行。</w:t>
      </w:r>
    </w:p>
    <w:p>
      <w:pPr>
        <w:pStyle w:val="Normal"/>
        <w:pageBreakBefore w:val="0"/>
        <w:wordWrap w:val="1"/>
        <w:overflowPunct w:val="1"/>
        <w:topLinePunct w:val="0"/>
        <w:kinsoku w:val="1"/>
        <w:bidi w:val="0"/>
        <w:snapToGrid w:val="1"/>
        <w:spacing w:line="240" w:lineRule="auto"/>
        <w:ind w:firstLine="481"/>
        <w:rPr>
          <w:color w:val="000000"/>
          <w:sz w:val="21"/>
          <w:lang w:val="en-US" w:eastAsia="zh-CN"/>
          <w:szCs w:val="21"/>
          <w:rFonts w:ascii="宋体" w:hAnsi="宋体" w:eastAsia="宋体" w:hint="eastAsia"/>
        </w:rPr>
      </w:pPr>
      <w:r>
        <w:rPr>
          <w:color w:val="242424"/>
          <w:sz w:val="21"/>
          <w:szCs w:val="21"/>
          <w:rFonts w:ascii="宋体" w:hAnsi="宋体" w:eastAsia="宋体" w:hint="eastAsia"/>
        </w:rPr>
        <w:t xml:space="preserve">2、本章内容必须全部满足，</w:t>
      </w:r>
      <w:r>
        <w:rPr>
          <w:b w:val="1"/>
          <w:color w:val="242424"/>
          <w:sz w:val="21"/>
          <w:szCs w:val="21"/>
          <w:bCs/>
          <w:rFonts w:ascii="宋体" w:hAnsi="宋体" w:eastAsia="宋体" w:hint="eastAsia"/>
        </w:rPr>
        <w:t xml:space="preserve">否则按无效报价处理。</w:t>
      </w:r>
      <w:r>
        <w:rPr>
          <w:color w:val="242424"/>
          <w:sz w:val="21"/>
          <w:szCs w:val="21"/>
          <w:rFonts w:ascii="宋体" w:hAnsi="宋体" w:eastAsia="宋体" w:hint="eastAsia"/>
        </w:rPr>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0" w:firstLineChars="200"/>
        <w:rPr>
          <w:sz w:val="21"/>
          <w:lang w:eastAsia="zh-CN"/>
          <w:szCs w:val="21"/>
          <w:kern w:val="0"/>
          <w:rFonts w:ascii="宋体" w:hAnsi="宋体" w:eastAsia="宋体" w:hint="eastAsia"/>
        </w:rPr>
      </w:pPr>
      <w:r>
        <w:rPr>
          <w:color w:val="242424"/>
          <w:sz w:val="21"/>
          <w:lang w:eastAsia="zh-CN"/>
          <w:szCs w:val="21"/>
          <w:kern w:val="0"/>
          <w:rFonts w:ascii="宋体" w:hAnsi="宋体" w:eastAsia="宋体" w:hint="eastAsia"/>
        </w:rPr>
      </w:r>
    </w:p>
    <w:p>
      <w:pPr>
        <w:pStyle w:val="Normal"/>
        <w:widowControl w:val="1"/>
        <w:keepNext w:val="0"/>
        <w:keepLines w:val="0"/>
        <w:pageBreakBefore w:val="0"/>
        <w:overflowPunct w:val="1"/>
        <w:topLinePunct w:val="0"/>
        <w:kinsoku w:val="1"/>
        <w:autoSpaceDE w:val="1"/>
        <w:autoSpaceDN w:val="1"/>
        <w:bidi w:val="0"/>
        <w:jc w:val="start"/>
        <w:widowControl/>
        <w:outlineLvl w:val="9"/>
        <w:spacing w:line="240" w:lineRule="auto"/>
        <w:ind w:firstLine="420" w:firstLineChars="200"/>
        <w:rPr>
          <w:lang w:eastAsia="zh-CN"/>
          <w:szCs w:val="21"/>
          <w:kern w:val="0"/>
          <w:rFonts w:ascii="宋体" w:hAnsi="宋体" w:eastAsia="宋体" w:hint="eastAsia"/>
        </w:rPr>
      </w:pPr>
      <w:r>
        <w:rPr>
          <w:color w:val="242424"/>
          <w:lang w:eastAsia="zh-CN"/>
          <w:szCs w:val="21"/>
          <w:kern w:val="0"/>
          <w:rFonts w:ascii="宋体" w:hAnsi="宋体" w:eastAsia="宋体" w:hint="eastAsia"/>
        </w:rPr>
      </w:r>
    </w:p>
    <w:p>
      <w:pPr>
        <w:pStyle w:val="Normal"/>
        <w:widowControl w:val="1"/>
        <w:keepNext w:val="0"/>
        <w:keepLines w:val="0"/>
        <w:pageBreakBefore w:val="0"/>
        <w:overflowPunct w:val="1"/>
        <w:topLinePunct w:val="0"/>
        <w:kinsoku w:val="1"/>
        <w:autoSpaceDE w:val="1"/>
        <w:autoSpaceDN w:val="1"/>
        <w:bidi w:val="0"/>
        <w:jc w:val="end"/>
        <w:widowControl/>
        <w:outlineLvl w:val="9"/>
        <w:spacing w:line="240" w:lineRule="auto"/>
        <w:ind w:firstLine="420" w:firstLineChars="200"/>
        <w:rPr>
          <w:szCs w:val="21"/>
          <w:kern w:val="0"/>
          <w:rFonts w:ascii="宋体" w:hAnsi="宋体" w:eastAsia="宋体" w:hint="eastAsia"/>
        </w:rPr>
      </w:pPr>
      <w:r>
        <w:rPr>
          <w:color w:val="242424"/>
          <w:szCs w:val="21"/>
          <w:kern w:val="0"/>
          <w:rFonts w:ascii="宋体" w:hAnsi="宋体" w:eastAsia="宋体" w:hint="eastAsia"/>
        </w:rPr>
        <w:t>   福建盛鑫招标代理有限公司</w:t>
      </w:r>
    </w:p>
    <w:p>
      <w:pPr>
        <w:pStyle w:val="Normal"/>
        <w:widowControl w:val="1"/>
        <w:keepNext w:val="0"/>
        <w:keepLines w:val="0"/>
        <w:pageBreakBefore w:val="0"/>
        <w:overflowPunct w:val="1"/>
        <w:topLinePunct w:val="0"/>
        <w:kinsoku w:val="1"/>
        <w:autoSpaceDE w:val="1"/>
        <w:autoSpaceDN w:val="1"/>
        <w:bidi w:val="0"/>
        <w:jc w:val="end"/>
        <w:widowControl/>
        <w:outlineLvl w:val="9"/>
        <w:spacing w:line="240" w:lineRule="auto"/>
        <w:ind w:firstLine="422" w:firstLineChars="200"/>
        <w:rPr>
          <w:b w:val="1"/>
          <w:szCs w:val="21"/>
          <w:kern w:val="0"/>
          <w:rFonts w:ascii="宋体" w:hAnsi="宋体" w:eastAsia="宋体" w:hint="eastAsia"/>
        </w:rPr>
      </w:pPr>
      <w:r>
        <w:rPr>
          <w:b w:val="1"/>
          <w:color w:val="242424"/>
          <w:szCs w:val="21"/>
          <w:kern w:val="0"/>
          <w:rFonts w:ascii="宋体" w:hAnsi="宋体" w:eastAsia="宋体" w:hint="eastAsia"/>
        </w:rPr>
        <w:t>2024年8月20 日</w:t>
      </w:r>
    </w:p>
    <w:p>
      <w:pPr>
        <w:pStyle w:val="Normal"/>
        <w:widowControl w:val="1"/>
        <w:keepNext w:val="0"/>
        <w:keepLines w:val="0"/>
        <w:pageBreakBefore w:val="0"/>
        <w:overflowPunct w:val="1"/>
        <w:topLinePunct w:val="0"/>
        <w:kinsoku w:val="1"/>
        <w:autoSpaceDE w:val="1"/>
        <w:autoSpaceDN w:val="1"/>
        <w:bidi w:val="0"/>
        <w:jc w:val="end"/>
        <w:widowControl/>
        <w:outlineLvl w:val="9"/>
        <w:spacing w:line="440" w:lineRule="exact"/>
        <w:ind w:firstLine="422" w:firstLineChars="200"/>
        <w:rPr>
          <w:b w:val="1"/>
          <w:szCs w:val="21"/>
          <w:kern w:val="0"/>
          <w:rFonts w:ascii="宋体" w:hAnsi="宋体" w:eastAsia="宋体" w:hint="eastAsia"/>
        </w:rPr>
      </w:pPr>
      <w:r>
        <w:rPr>
          <w:b w:val="1"/>
          <w:color w:val="242424"/>
          <w:szCs w:val="21"/>
          <w:kern w:val="0"/>
          <w:rFonts w:ascii="宋体" w:hAnsi="宋体" w:eastAsia="宋体" w:hint="eastAsia"/>
        </w:rPr>
      </w:r>
    </w:p>
    <w:p>
      <w:pPr>
        <w:pStyle w:val="Normal"/>
        <w:widowControl w:val="1"/>
        <w:keepNext w:val="0"/>
        <w:keepLines w:val="0"/>
        <w:pageBreakBefore w:val="0"/>
        <w:wordWrap w:val="1"/>
        <w:overflowPunct w:val="1"/>
        <w:topLinePunct w:val="0"/>
        <w:kinsoku w:val="1"/>
        <w:autoSpaceDE w:val="1"/>
        <w:autoSpaceDN w:val="1"/>
        <w:bidi w:val="0"/>
        <w:snapToGrid w:val="1"/>
        <w:jc w:val="center"/>
        <w:widowControl/>
        <w:outlineLvl w:val="0"/>
        <w:spacing w:line="440" w:lineRule="exact"/>
        <w:ind w:firstLine="422" w:firstLineChars="200"/>
        <w:rPr>
          <w:b w:val="1"/>
          <w:lang w:val="en-US" w:eastAsia="zh-CN"/>
          <w:szCs w:val="21"/>
          <w:kern w:val="0"/>
          <w:rFonts w:ascii="宋体" w:hAnsi="宋体" w:eastAsia="宋体" w:hint="eastAsia"/>
        </w:rPr>
      </w:pPr>
      <w:bookmarkStart w:name="_Toc26341" w:id="18"/>
      <w:r>
        <w:rPr>
          <w:b w:val="1"/>
          <w:color w:val="242424"/>
          <w:lang w:val="en-US" w:eastAsia="zh-CN"/>
          <w:szCs w:val="21"/>
          <w:kern w:val="0"/>
          <w:rFonts w:ascii="宋体" w:hAnsi="宋体" w:eastAsia="宋体" w:hint="eastAsia"/>
        </w:rPr>
      </w:r>
    </w:p>
    <w:p>
      <w:pPr>
        <w:pStyle w:val="Normal"/>
        <w:widowControl w:val="1"/>
        <w:keepNext w:val="0"/>
        <w:keepLines w:val="0"/>
        <w:pageBreakBefore w:val="0"/>
        <w:wordWrap w:val="1"/>
        <w:overflowPunct w:val="1"/>
        <w:topLinePunct w:val="0"/>
        <w:autoSpaceDE w:val="1"/>
        <w:autoSpaceDN w:val="1"/>
        <w:bidi w:val="0"/>
        <w:snapToGrid w:val="1"/>
        <w:jc w:val="center"/>
        <w:widowControl/>
        <w:outlineLvl w:val="0"/>
        <w:spacing w:line="440" w:lineRule="exact"/>
        <w:ind w:firstLine="422" w:firstLineChars="200"/>
        <w:rPr>
          <w:b w:val="1"/>
          <w:color w:val="242424"/>
          <w:lang w:val="en-US" w:eastAsia="zh-CN"/>
          <w:rFonts w:ascii="宋体" w:hAnsi="宋体" w:eastAsia="宋体" w:hint="eastAsia"/>
        </w:rPr>
      </w:pPr>
    </w:p>
    <w:p>
      <w:pPr>
        <w:pStyle w:val="UserStyle_5"/>
        <w:jc w:val="left"/>
        <w:outlineLvl w:val="9"/>
        <w:spacing w:line="360" w:lineRule="auto"/>
        <w:rPr>
          <w:b w:val="1"/>
          <w:szCs w:val="28"/>
          <w:rFonts w:ascii="宋体" w:hAnsi="宋体" w:eastAsia="宋体" w:hint="eastAsia"/>
        </w:rPr>
      </w:pPr>
      <w:r>
        <w:rPr>
          <w:b w:val="1"/>
          <w:color w:val="242424"/>
          <w:szCs w:val="28"/>
          <w:rFonts w:ascii="宋体" w:hAnsi="宋体" w:eastAsia="宋体" w:hint="eastAsia"/>
        </w:rPr>
      </w:r>
      <w:r>
        <w:rPr>
          <w:color w:val="242424"/>
          <w:sz w:val="24"/>
          <w:lang w:eastAsia="zh-CN"/>
          <w:rFonts w:ascii="宋体" w:hAnsi="宋体" w:eastAsia="宋体" w:hint="eastAsia"/>
        </w:rPr>
      </w:r>
      <w:r>
        <w:rPr>
          <w:b w:val="1"/>
          <w:color w:val="242424"/>
          <w:sz w:val="36"/>
          <w:lang w:eastAsia="zh-CN"/>
          <w:szCs w:val="36"/>
          <w:rFonts w:ascii="宋体" w:hAnsi="宋体" w:eastAsia="宋体" w:hint="eastAsia"/>
        </w:rPr>
      </w:r>
      <w:r>
        <w:rPr>
          <w:b w:val="1"/>
          <w:color w:val="242424"/>
          <w:lang w:eastAsia="zh-CN"/>
          <w:szCs w:val="28"/>
          <w:rFonts w:ascii="宋体" w:hAnsi="宋体" w:eastAsia="宋体" w:hint="eastAsia"/>
        </w:rPr>
      </w:r>
    </w:p>
    <w:p>
      <w:pPr>
        <w:pStyle w:val="UserStyle_5"/>
        <w:jc w:val="center"/>
        <w:outlineLvl w:val="9"/>
        <w:spacing w:line="360" w:lineRule="auto"/>
        <w:rPr>
          <w:b w:val="1"/>
          <w:szCs w:val="28"/>
          <w:rFonts w:ascii="宋体" w:hAnsi="宋体" w:eastAsia="宋体" w:hint="eastAsia"/>
        </w:rPr>
      </w:pPr>
      <w:r>
        <w:br w:type="page"/>
        <w:rPr>
          <w:b w:val="1"/>
          <w:color w:val="242424"/>
          <w:szCs w:val="28"/>
          <w:rFonts w:ascii="宋体" w:hAnsi="宋体" w:eastAsia="宋体" w:hint="eastAsia"/>
        </w:rPr>
      </w:r>
    </w:p>
    <w:tbl>
      <w:tblPr>
        <w:tblW w:w="0" w:type="auto"/>
        <w:jc w:val="center"/>
        <w:tblInd w:type="dxa" w:w="-108.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887.000000"/>
        <w:gridCol w:w="3049.000000"/>
        <w:gridCol w:w="923.000000"/>
        <w:gridCol w:w="1097.000000"/>
        <w:gridCol w:w="1865.000000"/>
        <w:gridCol w:w="2033.000000"/>
      </w:tblGrid>
    </w:tbl>
    <w:p>
      <w:pPr>
        <w:pStyle w:val="HtmlNormal"/>
        <w:spacing w:after="0" w:afterAutospacing="0" w:before="0" w:beforeAutospacing="0" w:line="420" w:lineRule="exact"/>
        <w:ind w:firstLine="621" w:firstLineChars="259"/>
        <w:rPr>
          <w:rFonts w:ascii="宋体" w:hAnsi="宋体" w:eastAsia="宋体" w:hint="eastAsia"/>
        </w:rPr>
      </w:pPr>
      <w:r>
        <w:rPr>
          <w:color w:val="242424"/>
          <w:rFonts w:ascii="宋体" w:hAnsi="宋体" w:eastAsia="宋体" w:hint="eastAsia"/>
        </w:rPr>
      </w:r>
      <w:r>
        <w:rPr>
          <w:b w:val="1"/>
          <w:color w:val="242424"/>
          <w:sz w:val="36"/>
          <w:lang w:eastAsia="zh-CN"/>
          <w:szCs w:val="36"/>
          <w:rFonts w:ascii="宋体" w:hAnsi="宋体" w:eastAsia="宋体" w:hint="eastAsia"/>
        </w:rPr>
      </w:r>
      <w:r>
        <w:rPr>
          <w:color w:val="242424"/>
          <w:sz w:val="24"/>
          <w:rFonts w:ascii="宋体" w:hAnsi="宋体" w:eastAsia="宋体" w:hint="eastAsia"/>
        </w:rPr>
      </w:r>
    </w:p>
    <w:sectPr>
      <w:headerReference r:id="rId5" w:type="first"/>
      <w:headerReference r:id="rId4" w:type="default"/>
      <w:titlePg/>
      <w:type w:val="nextPage"/>
      <w:docGrid w:type="lines" w:linePitch="312"/>
      <w:pgSz w:w="11906" w:h="16838"/>
      <w:pgMar w:top="936" w:right="1134" w:bottom="1246" w:left="1134" w:header="471" w:footer="992" w:gutter="0"/>
      <w:pgNumType w:fmt="Decimal" w:start="1"/>
      <w:pgNumType w:fmt="Decimal" w:start="1"/>
    </w:sectPr>
  </w:body>
</w:document>
</file>

<file path=word/fontTable.xml><?xml version="1.0" encoding="utf-8"?>
<w:fonts xmlns:w="http://schemas.openxmlformats.org/wordprocessingml/2006/main">
  <w:font w:name="Times New Roman">
    <w:panose1 w:val="02020603050405020304"/>
    <w:charset w:val="7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roman"/>
    <w:pitch w:val="default"/>
    <w:sig w:usb0="00000003"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right" w:y="1"/>
    </w:pPr>
    <w:r>
      <w:fldChar w:fldCharType="begin"/>
    </w:r>
    <w:r>
      <w:rPr>
        <w:rStyle w:val="PageNumber"/>
      </w:rPr>
      <w:instrText xml:space="preserve">PAGE  </w:instrText>
    </w:r>
    <w:r>
      <w:fldChar w:fldCharType="end"/>
    </w:r>
    <w:r>
      <w:rPr>
        <w:rStyle w:val="PageNumber"/>
      </w:rPr>
    </w:r>
  </w:p>
  <w:p>
    <w:pPr>
      <w:pStyle w:val="Footer"/>
      <w:tabs>
        <w:tab w:val="clear" w:pos="4153"/>
        <w:tab w:val="clear" w:pos="8306"/>
      </w:tabs>
      <w:ind w:right="360"/>
    </w:pPr>
    <w:r/>
  </w:p>
</w:ftr>
</file>

<file path=word/footer2.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ind w:right="360"/>
      <w:rPr>
        <w:sz w:val="18"/>
      </w:rPr>
    </w:pPr>
    <w:r>
      <w:rPr>
        <w:sz w:val="18"/>
      </w:rPr>
      <w:drawing>
        <wp:anchor distT="0" distB="0" distL="0" distR="0" relativeHeight="524288" behindDoc="0" allowOverlap="1" locked="0" layoutInCell="1" simplePos="0">
          <wp:simplePos x="0" y="0"/>
          <wp:positionH relativeFrom="margin">
            <wp:align>center</wp:align>
          </wp:positionH>
          <wp:positionV relativeFrom="paragraph">
            <wp:posOffset>0</wp:posOffset>
          </wp:positionV>
          <wp:extent cx="1828800" cy="1828800"/>
          <wp:wrapNone/>
          <wp:docPr id="1" name="_x0000_s3073"/>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jc w:val="start"/>
                        <w:tabs>
                          <w:tab w:val="clear" w:pos="4153"/>
                          <w:tab w:val="clear" w:pos="8306"/>
                        </w:tabs>
                      </w:pPr>
                      <w:r>
                        <w:fldChar w:fldCharType="begin"/>
                      </w:r>
                      <w:r>
                        <w:rPr>
                          <w:rStyle w:val="PageNumber"/>
                        </w:rPr>
                        <w:instrText xml:space="preserve">PAGE  </w:instrText>
                      </w:r>
                      <w:r>
                        <w:fldChar w:fldCharType="separate"/>
                      </w:r>
                      <w:r>
                        <w:rPr>
                          <w:rStyle w:val="PageNumber"/>
                        </w:rPr>
                        <w:t xml:space="preserve">18</w:t>
                      </w:r>
                      <w:r>
                        <w:fldChar w:fldCharType="end"/>
                      </w:r>
                      <w:r>
                        <w:rPr>
                          <w:rStyle w:val="PageNumber"/>
                        </w:rPr>
                      </w:r>
                    </w:p>
                    <w:p>
                      <w:pPr>
                        <w:pStyle w:val="Normal"/>
                      </w:pPr>
                      <w:r/>
                    </w:p>
                  </w:txbxContent>
                </wps:txbx>
                <wps:bodyPr rot="0" vert="horz" wrap="square" lIns="91440" tIns="45720" rIns="91440" bIns="45720" anchor="t" anchorCtr="0"/>
              </wps:wsp>
            </a:graphicData>
          </a:graphic>
        </wp:anchor>
      </w:drawing>
    </w:r>
    <w:r/>
  </w:p>
</w:ftr>
</file>

<file path=word/footer3.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pPr>
    <w:r>
      <w:drawing>
        <wp:anchor distT="0" distB="0" distL="0" distR="0" relativeHeight="524289" behindDoc="0" allowOverlap="1" locked="0" layoutInCell="1" simplePos="0">
          <wp:simplePos x="0" y="0"/>
          <wp:positionH relativeFrom="margin">
            <wp:align>center</wp:align>
          </wp:positionH>
          <wp:positionV relativeFrom="paragraph">
            <wp:posOffset>0</wp:posOffset>
          </wp:positionV>
          <wp:extent cx="1828800" cy="1828800"/>
          <wp:wrapNone/>
          <wp:docPr id="2" name="_x0000_s3077"/>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pPr>
                      <w:r>
                        <w:fldChar w:fldCharType="begin"/>
                      </w:r>
                      <w:r>
                        <w:rPr>
                          <w:rStyle w:val="PageNumber"/>
                        </w:rPr>
                        <w:instrText xml:space="preserve"> PAGE  \* MERGEFORMAT </w:instrText>
                      </w:r>
                      <w:r>
                        <w:fldChar w:fldCharType="separate"/>
                      </w:r>
                      <w:r>
                        <w:rPr>
                          <w:rStyle w:val="PageNumber"/>
                        </w:rPr>
                        <w:t xml:space="preserve">1</w:t>
                      </w:r>
                      <w:r>
                        <w:fldChar w:fldCharType="end"/>
                      </w:r>
                      <w:r>
                        <w:rPr>
                          <w:rStyle w:val="PageNumber"/>
                        </w:rPr>
                      </w:r>
                    </w:p>
                    <w:p>
                      <w:pPr>
                        <w:pStyle w:val="Normal"/>
                      </w:pPr>
                      <w:r/>
                    </w:p>
                  </w:txbxContent>
                </wps:txbx>
                <wps:bodyPr rot="0" vert="horz" wrap="square" lIns="91440" tIns="45720" rIns="91440" bIns="45720" anchor="t" anchorCtr="0"/>
              </wps:wsp>
            </a:graphicData>
          </a:graphic>
        </wp:anchor>
      </w:drawing>
    </w:r>
    <w:r/>
  </w:p>
</w:ftr>
</file>

<file path=word/footer4.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jc w:val="center"/>
      <w:tabs>
        <w:tab w:val="clear" w:pos="4153"/>
        <w:tab w:val="clear" w:pos="8306"/>
      </w:tabs>
    </w:pPr>
    <w:r>
      <w:drawing>
        <wp:anchor distT="0" distB="0" distL="0" distR="0" relativeHeight="524290" behindDoc="0" allowOverlap="1" locked="0" layoutInCell="1" simplePos="0">
          <wp:simplePos x="0" y="0"/>
          <wp:positionH relativeFrom="margin">
            <wp:align>center</wp:align>
          </wp:positionH>
          <wp:positionV relativeFrom="paragraph">
            <wp:posOffset>0</wp:posOffset>
          </wp:positionV>
          <wp:extent cx="1828800" cy="1828800"/>
          <wp:wrapNone/>
          <wp:docPr id="3" name="_x0000_s3078"/>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jc w:val="center"/>
                        <w:tabs>
                          <w:tab w:val="clear" w:pos="4153"/>
                          <w:tab w:val="clear" w:pos="8306"/>
                        </w:tabs>
                      </w:pPr>
                      <w:r>
                        <w:fldChar w:fldCharType="begin"/>
                      </w:r>
                      <w:r>
                        <w:instrText xml:space="preserve"> PAGE  \* MERGEFORMAT </w:instrText>
                      </w:r>
                      <w:r>
                        <w:fldChar w:fldCharType="separate"/>
                      </w:r>
                      <w:r>
                        <w:t xml:space="preserve">34</w:t>
                      </w:r>
                      <w:r>
                        <w:fldChar w:fldCharType="end"/>
                      </w:r>
                      <w:r/>
                    </w:p>
                    <w:p>
                      <w:pPr>
                        <w:pStyle w:val="Normal"/>
                      </w:pPr>
                      <w:r/>
                    </w:p>
                  </w:txbxContent>
                </wps:txbx>
                <wps:bodyPr rot="0" vert="horz" wrap="square" lIns="91440" tIns="45720" rIns="91440" bIns="45720" anchor="t" anchorCtr="0"/>
              </wps:wsp>
            </a:graphicData>
          </a:graphic>
        </wp:anchor>
      </w:drawing>
    </w:r>
    <w:r/>
  </w:p>
  <w:p>
    <w:pPr>
      <w:pStyle w:val="Footer"/>
      <w:tabs>
        <w:tab w:val="clear" w:pos="4153"/>
        <w:tab w:val="clear" w:pos="8306"/>
      </w:tabs>
    </w:p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single" w:color="000000" w:sz="6" w:space="0"/>
      </w:pBdr>
      <w:tabs>
        <w:tab w:val="clear" w:pos="4153"/>
        <w:tab w:val="clear" w:pos="8306"/>
      </w:tabs>
      <w:rPr>
        <w:sz w:val="21"/>
        <w:szCs w:val="21"/>
        <w:shd w:val="pct10" w:color="auto" w:fill="FFFFFF"/>
        <w:rFonts w:ascii="宋体" w:hAnsi="宋体" w:hint="eastAsia"/>
      </w:rPr>
    </w:pPr>
    <w:r>
      <w:rPr>
        <w:sz w:val="21"/>
        <w:szCs w:val="21"/>
        <w:shd w:val="pct10" w:color="auto" w:fill="FFFFFF"/>
        <w:rFonts w:ascii="宋体" w:hAnsi="宋体" w:hint="eastAsia"/>
      </w:rPr>
      <w:t xml:space="preserve">福建盛鑫招标代理有限公司                                                           竞价文件</w:t>
    </w:r>
    <w:r>
      <w:rPr>
        <w:sz w:val="21"/>
        <w:szCs w:val="21"/>
        <w:shd w:val="pct10" w:color="auto" w:fill="FFFFFF"/>
        <w:rFonts w:ascii="宋体" w:hAnsi="宋体" w:hint="eastAsia"/>
      </w:rPr>
    </w:r>
  </w:p>
</w:hdr>
</file>

<file path=word/header2.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single" w:color="000000" w:sz="6" w:space="0"/>
      </w:pBdr>
      <w:tabs>
        <w:tab w:val="clear" w:pos="4153"/>
        <w:tab w:val="clear" w:pos="8306"/>
      </w:tabs>
      <w:rPr>
        <w:sz w:val="21"/>
        <w:szCs w:val="21"/>
        <w:shd w:val="pct10" w:color="auto" w:fill="FFFFFF"/>
        <w:rFonts w:ascii="宋体" w:hAnsi="宋体" w:hint="eastAsia"/>
      </w:rPr>
    </w:pPr>
    <w:r>
      <w:rPr>
        <w:sz w:val="21"/>
        <w:szCs w:val="21"/>
        <w:shd w:val="pct10" w:color="auto" w:fill="FFFFFF"/>
        <w:rFonts w:ascii="宋体" w:hAnsi="宋体" w:hint="eastAsia"/>
      </w:rPr>
      <w:t xml:space="preserve">福建盛鑫招标代理有限公司                                                           竞价文件</w:t>
    </w:r>
    <w:r>
      <w:rPr>
        <w:sz w:val="21"/>
        <w:szCs w:val="21"/>
        <w:shd w:val="pct10" w:color="auto" w:fill="FFFFFF"/>
        <w:rFonts w:ascii="宋体" w:hAnsi="宋体" w:hint="eastAsia"/>
      </w:rPr>
    </w:r>
  </w:p>
</w:hdr>
</file>

<file path=word/header3.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tabs>
        <w:tab w:val="clear" w:pos="4153"/>
        <w:tab w:val="clear" w:pos="8306"/>
      </w:tabs>
    </w:pPr>
    <w:r/>
  </w:p>
</w:hdr>
</file>

<file path=word/header4.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single" w:color="000000" w:sz="6" w:space="0"/>
      </w:pBdr>
      <w:tabs>
        <w:tab w:val="clear" w:pos="4153"/>
        <w:tab w:val="clear" w:pos="8306"/>
      </w:tabs>
      <w:rPr>
        <w:color w:val="000000"/>
        <w:sz w:val="21"/>
        <w:szCs w:val="21"/>
        <w:rFonts w:ascii="宋体" w:hAnsi="宋体" w:hint="eastAsia"/>
      </w:rPr>
    </w:pPr>
    <w:r>
      <w:rPr>
        <w:color w:val="000000"/>
        <w:sz w:val="21"/>
        <w:szCs w:val="21"/>
        <w:rFonts w:ascii="宋体" w:hAnsi="宋体" w:hint="eastAsia"/>
      </w:rPr>
      <w:t xml:space="preserve">空调采购</w:t>
    </w:r>
    <w:r>
      <w:rPr>
        <w:sz w:val="21"/>
        <w:szCs w:val="21"/>
        <w:rFonts w:ascii="宋体" w:hAnsi="宋体" w:hint="eastAsia"/>
      </w:rPr>
      <w:t xml:space="preserve">项目</w:t>
    </w:r>
    <w:r>
      <w:rPr>
        <w:sz w:val="21"/>
        <w:szCs w:val="21"/>
        <w:rFonts w:hint="eastAsia"/>
      </w:rPr>
    </w:r>
  </w:p>
</w:hdr>
</file>

<file path=word/header5.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single" w:color="000000" w:sz="6" w:space="0"/>
      </w:pBdr>
      <w:tabs>
        <w:tab w:val="clear" w:pos="4153"/>
        <w:tab w:val="clear" w:pos="8306"/>
      </w:tabs>
      <w:rPr>
        <w:sz w:val="21"/>
        <w:szCs w:val="21"/>
        <w:shd w:val="pct10" w:color="auto" w:fill="FFFFFF"/>
        <w:rFonts w:ascii="宋体" w:hAnsi="宋体" w:hint="eastAsia"/>
      </w:rPr>
    </w:pPr>
    <w:r>
      <w:rPr>
        <w:sz w:val="21"/>
        <w:szCs w:val="21"/>
        <w:shd w:val="pct10" w:color="auto" w:fill="FFFFFF"/>
        <w:rFonts w:ascii="宋体" w:hAnsi="宋体" w:hint="eastAsia"/>
      </w:rPr>
      <w:t xml:space="preserve">福建盛鑫招标代理有限公司                                                   竞价文件</w:t>
    </w:r>
    <w:r>
      <w:rPr>
        <w:sz w:val="21"/>
        <w:szCs w:val="21"/>
        <w:shd w:val="pct10" w:color="auto" w:fill="FFFFFF"/>
        <w:rFonts w:ascii="宋体" w:hAnsi="宋体" w:hint="eastAsia"/>
      </w:rPr>
    </w:r>
  </w:p>
</w:hdr>
</file>

<file path=word/header6.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jc w:val="start"/>
      <w:tabs>
        <w:tab w:val="clear" w:pos="4153"/>
        <w:tab w:val="clear" w:pos="8306"/>
      </w:tabs>
      <w:rPr>
        <w:b w:val="1"/>
        <w:sz w:val="21"/>
        <w:szCs w:val="21"/>
        <w:bCs/>
        <w:rFonts w:hint="eastAsia"/>
      </w:rPr>
    </w:pPr>
    <w:r>
      <w:rPr>
        <w:b w:val="1"/>
        <w:sz w:val="21"/>
        <w:szCs w:val="21"/>
        <w:bCs/>
        <w:rFonts w:hint="eastAsia"/>
      </w:rPr>
    </w:r>
  </w:p>
  <w:p>
    <w:pPr>
      <w:pStyle w:val="Header"/>
      <w:jc w:val="start"/>
      <w:tabs>
        <w:tab w:val="clear" w:pos="4153"/>
        <w:tab w:val="clear" w:pos="8306"/>
      </w:tabs>
      <w:rPr>
        <w:b w:val="1"/>
        <w:sz w:val="21"/>
        <w:szCs w:val="21"/>
        <w:bCs/>
        <w:rFonts w:hint="eastAsia"/>
      </w:rPr>
    </w:pPr>
    <w:r>
      <w:rPr>
        <w:b w:val="1"/>
        <w:sz w:val="21"/>
        <w:szCs w:val="21"/>
        <w:bCs/>
        <w:rFonts w:hint="eastAsia"/>
      </w:rPr>
      <w:t xml:space="preserve">福建</w:t>
    </w:r>
    <w:r>
      <w:rPr>
        <w:b w:val="1"/>
        <w:sz w:val="21"/>
        <w:lang w:eastAsia="zh-CN"/>
        <w:szCs w:val="21"/>
        <w:bCs/>
        <w:rFonts w:hint="eastAsia"/>
      </w:rPr>
      <w:t xml:space="preserve">盛鑫</w:t>
    </w:r>
    <w:r>
      <w:rPr>
        <w:b w:val="1"/>
        <w:sz w:val="21"/>
        <w:szCs w:val="21"/>
        <w:bCs/>
        <w:rFonts w:hint="eastAsia"/>
      </w:rPr>
      <w:t xml:space="preserve">招标代理有限公司网上竞价件  </w:t>
    </w:r>
    <w:r>
      <w:rPr>
        <w:sz w:val="21"/>
        <w:szCs w:val="21"/>
        <w:rFonts w:hint="eastAsia"/>
      </w:rPr>
      <w:t xml:space="preserve">                     </w:t>
    </w:r>
    <w:r>
      <w:rPr>
        <w:sz w:val="21"/>
        <w:lang w:val="en-US" w:eastAsia="zh-CN"/>
        <w:szCs w:val="21"/>
        <w:rFonts w:hint="eastAsia"/>
      </w:rPr>
      <w:t xml:space="preserve">       </w:t>
    </w:r>
    <w:r>
      <w:rPr>
        <w:sz w:val="21"/>
        <w:szCs w:val="21"/>
        <w:rFonts w:hint="eastAsia"/>
      </w:rPr>
      <w:t xml:space="preserve">                </w:t>
    </w:r>
    <w:r>
      <w:rPr>
        <w:b w:val="1"/>
        <w:sz w:val="21"/>
        <w:szCs w:val="21"/>
        <w:bCs/>
        <w:rFonts w:hint="eastAsia"/>
      </w:rPr>
      <w:t xml:space="preserve">202</w:t>
    </w:r>
    <w:r>
      <w:rPr>
        <w:b w:val="1"/>
        <w:sz w:val="21"/>
        <w:lang w:val="en-US" w:eastAsia="zh-CN"/>
        <w:szCs w:val="21"/>
        <w:bCs/>
        <w:rFonts w:hint="eastAsia"/>
      </w:rPr>
      <w:t xml:space="preserve">4</w:t>
    </w:r>
    <w:r>
      <w:rPr>
        <w:b w:val="1"/>
        <w:sz w:val="21"/>
        <w:szCs w:val="21"/>
        <w:bCs/>
        <w:rFonts w:hint="eastAsia"/>
      </w:rPr>
      <w:t xml:space="preserve">年</w:t>
    </w:r>
    <w:r/>
  </w:p>
  <w:p>
    <w:pPr>
      <w:pStyle w:val="Normal"/>
    </w:pPr>
    <w:r/>
  </w:p>
</w:hdr>
</file>

<file path=word/header7.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jc w:val="start"/>
      <w:tabs>
        <w:tab w:val="clear" w:pos="4153"/>
        <w:tab w:val="clear" w:pos="8306"/>
      </w:tabs>
      <w:rPr>
        <w:sz w:val="21"/>
        <w:szCs w:val="21"/>
        <w:rFonts w:hint="eastAsia"/>
      </w:rPr>
    </w:pPr>
    <w:r>
      <w:rPr>
        <w:sz w:val="21"/>
        <w:szCs w:val="21"/>
        <w:rFonts w:hint="eastAsia"/>
      </w:rPr>
    </w:r>
  </w:p>
  <w:p>
    <w:pPr>
      <w:pStyle w:val="Header"/>
      <w:jc w:val="start"/>
      <w:tabs>
        <w:tab w:val="clear" w:pos="4153"/>
        <w:tab w:val="clear" w:pos="8306"/>
      </w:tabs>
      <w:rPr>
        <w:b w:val="1"/>
        <w:sz w:val="21"/>
        <w:szCs w:val="21"/>
        <w:bCs/>
        <w:rFonts w:hint="eastAsia"/>
      </w:rPr>
    </w:pPr>
    <w:r>
      <w:rPr>
        <w:b w:val="1"/>
        <w:sz w:val="21"/>
        <w:szCs w:val="21"/>
        <w:bCs/>
        <w:rFonts w:hint="eastAsia"/>
      </w:rPr>
      <w:t xml:space="preserve">福建</w:t>
    </w:r>
    <w:r>
      <w:rPr>
        <w:b w:val="1"/>
        <w:sz w:val="21"/>
        <w:lang w:eastAsia="zh-CN"/>
        <w:szCs w:val="21"/>
        <w:bCs/>
        <w:rFonts w:hint="eastAsia"/>
      </w:rPr>
      <w:t xml:space="preserve">盛鑫</w:t>
    </w:r>
    <w:r>
      <w:rPr>
        <w:b w:val="1"/>
        <w:sz w:val="21"/>
        <w:szCs w:val="21"/>
        <w:bCs/>
        <w:rFonts w:hint="eastAsia"/>
      </w:rPr>
      <w:t xml:space="preserve">招标代理有限公司网上竞价文件  </w:t>
    </w:r>
    <w:r>
      <w:rPr>
        <w:sz w:val="21"/>
        <w:szCs w:val="21"/>
        <w:rFonts w:hint="eastAsia"/>
      </w:rPr>
      <w:t xml:space="preserve">                                     </w:t>
    </w:r>
    <w:r>
      <w:rPr>
        <w:b w:val="1"/>
        <w:sz w:val="21"/>
        <w:szCs w:val="21"/>
        <w:bCs/>
        <w:rFonts w:hint="eastAsia"/>
      </w:rPr>
      <w:t xml:space="preserve">202</w:t>
    </w:r>
    <w:r>
      <w:rPr>
        <w:b w:val="1"/>
        <w:sz w:val="21"/>
        <w:lang w:val="en-US" w:eastAsia="zh-CN"/>
        <w:szCs w:val="21"/>
        <w:bCs/>
        <w:rFonts w:hint="eastAsia"/>
      </w:rPr>
      <w:t xml:space="preserve">4</w:t>
    </w:r>
    <w:r>
      <w:rPr>
        <w:b w:val="1"/>
        <w:sz w:val="21"/>
        <w:szCs w:val="21"/>
        <w:bCs/>
        <w:rFonts w:hint="eastAsia"/>
      </w:rPr>
      <w:t xml:space="preserve">年</w:t>
    </w:r>
    <w:r/>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01583ABC"/>
    <w:multiLevelType w:val="multilevel"/>
    <w:tmpl w:val="01583ABC"/>
    <w:lvl w:ilvl="0">
      <w:start w:val="1"/>
      <w:numFmt w:val="decimal"/>
      <w:suff w:val="tab"/>
      <w:lvlText w:val="%1、"/>
      <w:lvlJc w:val="left"/>
      <w:pPr>
        <w:pStyle w:val="Normal"/>
        <w:tabs>
          <w:tab w:val="num" w:pos="1200"/>
        </w:tabs>
        <w:ind w:hanging="720" w:left="1200"/>
      </w:pPr>
      <w:rPr/>
    </w:lvl>
    <w:lvl w:ilvl="1">
      <w:start w:val="1"/>
      <w:numFmt w:val="lowerLetter"/>
      <w:suff w:val="tab"/>
      <w:lvlText w:val="%2)"/>
      <w:lvlJc w:val="left"/>
      <w:pPr>
        <w:pStyle w:val="Normal"/>
        <w:tabs>
          <w:tab w:val="num" w:pos="1320"/>
        </w:tabs>
        <w:ind w:hanging="420" w:left="1320"/>
      </w:pPr>
      <w:rPr/>
    </w:lvl>
    <w:lvl w:ilvl="2">
      <w:start w:val="1"/>
      <w:numFmt w:val="lowerRoman"/>
      <w:suff w:val="tab"/>
      <w:lvlText w:val="%3."/>
      <w:lvlJc w:val="right"/>
      <w:pPr>
        <w:pStyle w:val="Normal"/>
        <w:tabs>
          <w:tab w:val="num" w:pos="1740"/>
        </w:tabs>
        <w:ind w:hanging="420" w:left="1740"/>
      </w:pPr>
      <w:rPr/>
    </w:lvl>
    <w:lvl w:ilvl="3">
      <w:start w:val="1"/>
      <w:numFmt w:val="decimal"/>
      <w:suff w:val="tab"/>
      <w:lvlText w:val="%4."/>
      <w:lvlJc w:val="left"/>
      <w:pPr>
        <w:pStyle w:val="Normal"/>
        <w:tabs>
          <w:tab w:val="num" w:pos="2160"/>
        </w:tabs>
        <w:ind w:hanging="420" w:left="2160"/>
      </w:pPr>
      <w:rPr/>
    </w:lvl>
    <w:lvl w:ilvl="4">
      <w:start w:val="1"/>
      <w:numFmt w:val="lowerLetter"/>
      <w:suff w:val="tab"/>
      <w:lvlText w:val="%5)"/>
      <w:lvlJc w:val="left"/>
      <w:pPr>
        <w:pStyle w:val="Normal"/>
        <w:tabs>
          <w:tab w:val="num" w:pos="2580"/>
        </w:tabs>
        <w:ind w:hanging="420" w:left="2580"/>
      </w:pPr>
      <w:rPr/>
    </w:lvl>
    <w:lvl w:ilvl="5">
      <w:start w:val="1"/>
      <w:numFmt w:val="lowerRoman"/>
      <w:suff w:val="tab"/>
      <w:lvlText w:val="%6."/>
      <w:lvlJc w:val="right"/>
      <w:pPr>
        <w:pStyle w:val="Normal"/>
        <w:tabs>
          <w:tab w:val="num" w:pos="3000"/>
        </w:tabs>
        <w:ind w:hanging="420" w:left="3000"/>
      </w:pPr>
      <w:rPr/>
    </w:lvl>
    <w:lvl w:ilvl="6">
      <w:start w:val="1"/>
      <w:numFmt w:val="decimal"/>
      <w:suff w:val="tab"/>
      <w:lvlText w:val="%7."/>
      <w:lvlJc w:val="left"/>
      <w:pPr>
        <w:pStyle w:val="Normal"/>
        <w:tabs>
          <w:tab w:val="num" w:pos="3420"/>
        </w:tabs>
        <w:ind w:hanging="420" w:left="3420"/>
      </w:pPr>
      <w:rPr/>
    </w:lvl>
    <w:lvl w:ilvl="7">
      <w:start w:val="1"/>
      <w:numFmt w:val="lowerLetter"/>
      <w:suff w:val="tab"/>
      <w:lvlText w:val="%8)"/>
      <w:lvlJc w:val="left"/>
      <w:pPr>
        <w:pStyle w:val="Normal"/>
        <w:tabs>
          <w:tab w:val="num" w:pos="3840"/>
        </w:tabs>
        <w:ind w:hanging="420" w:left="3840"/>
      </w:pPr>
      <w:rPr/>
    </w:lvl>
    <w:lvl w:ilvl="8">
      <w:start w:val="1"/>
      <w:numFmt w:val="lowerRoman"/>
      <w:suff w:val="tab"/>
      <w:lvlText w:val="%9."/>
      <w:lvlJc w:val="right"/>
      <w:pPr>
        <w:pStyle w:val="Normal"/>
        <w:tabs>
          <w:tab w:val="num" w:pos="4260"/>
        </w:tabs>
        <w:ind w:hanging="420" w:left="4260"/>
      </w:pPr>
      <w:rPr/>
    </w:lvl>
  </w:abstractNum>
  <w:abstractNum w:abstractNumId="1">
    <w:nsid w:val="28020941"/>
    <w:multiLevelType w:val="multilevel"/>
    <w:tmpl w:val="28020941"/>
    <w:lvl w:ilvl="0">
      <w:start w:val="1"/>
      <w:numFmt w:val="chineseCountingThousand"/>
      <w:suff w:val="nothing"/>
      <w:lvlText w:val="第%1部分"/>
      <w:lvlJc w:val="left"/>
      <w:pPr>
        <w:pStyle w:val="Normal"/>
        <w:ind w:firstLine="0" w:left="0"/>
      </w:pPr>
      <w:rPr>
        <w:sz w:val="32"/>
        <w:rFonts w:ascii="黑体" w:eastAsia="黑体" w:hint="eastAsia"/>
      </w:rPr>
    </w:lvl>
    <w:lvl w:ilvl="1">
      <w:start w:val="1"/>
      <w:numFmt w:val="upperLetter"/>
      <w:suff w:val="nothing"/>
      <w:lvlText w:val="%2"/>
      <w:lvlJc w:val="left"/>
      <w:pPr>
        <w:pStyle w:val="Normal"/>
        <w:ind w:firstLine="0" w:left="0"/>
      </w:pPr>
      <w:rPr>
        <w:b w:val="1"/>
        <w:i w:val="0"/>
        <w:sz w:val="28"/>
        <w:rFonts w:ascii="CG Times" w:hAnsi="CG Times"/>
      </w:rPr>
    </w:lvl>
    <w:lvl w:ilvl="2">
      <w:start w:val="1"/>
      <w:numFmt w:val="decimal"/>
      <w:suff w:val="nothing"/>
      <w:lvlText w:val="%3"/>
      <w:lvlJc w:val="left"/>
      <w:pPr>
        <w:pStyle w:val="Normal"/>
        <w:ind w:firstLine="0" w:left="0"/>
      </w:pPr>
      <w:rPr>
        <w:b w:val="1"/>
        <w:i w:val="0"/>
        <w:sz w:val="28"/>
        <w:rFonts w:ascii="宋体" w:hAnsi="Times New Roman" w:eastAsia="宋体" w:hint="eastAsia"/>
      </w:rPr>
    </w:lvl>
    <w:lvl w:ilvl="3">
      <w:start w:val="1"/>
      <w:numFmt w:val="decimal"/>
      <w:suff w:val="nothing"/>
      <w:lvlJc w:val="left"/>
      <w:pPr>
        <w:pStyle w:val="Normal"/>
        <w:ind w:firstLine="0" w:left="0"/>
      </w:pPr>
      <w:rPr/>
    </w:lvl>
    <w:lvl w:ilvl="4">
      <w:start w:val="1"/>
      <w:numFmt w:val="decimal"/>
      <w:suff w:val="nothing"/>
      <w:lvlJc w:val="left"/>
      <w:pPr>
        <w:pStyle w:val="Normal"/>
        <w:ind w:firstLine="0" w:left="0"/>
      </w:pPr>
      <w:rPr/>
    </w:lvl>
    <w:lvl w:ilvl="5">
      <w:start w:val="1"/>
      <w:numFmt w:val="decimal"/>
      <w:suff w:val="nothing"/>
      <w:lvlJc w:val="left"/>
      <w:pPr>
        <w:pStyle w:val="Normal"/>
        <w:ind w:firstLine="0" w:left="0"/>
      </w:pPr>
      <w:rPr/>
    </w:lvl>
    <w:lvl w:ilvl="6">
      <w:start w:val="1"/>
      <w:numFmt w:val="decimal"/>
      <w:suff w:val="nothing"/>
      <w:lvlJc w:val="left"/>
      <w:pPr>
        <w:pStyle w:val="Normal"/>
        <w:ind w:firstLine="0" w:left="0"/>
      </w:pPr>
      <w:rPr/>
    </w:lvl>
    <w:lvl w:ilvl="7">
      <w:start w:val="1"/>
      <w:numFmt w:val="decimal"/>
      <w:suff w:val="nothing"/>
      <w:lvlJc w:val="left"/>
      <w:pPr>
        <w:pStyle w:val="Normal"/>
        <w:ind w:firstLine="0" w:left="0"/>
      </w:pPr>
      <w:rPr/>
    </w:lvl>
    <w:lvl w:ilvl="8">
      <w:start w:val="1"/>
      <w:numFmt w:val="decimal"/>
      <w:suff w:val="nothing"/>
      <w:lvlJc w:val="left"/>
      <w:pPr>
        <w:pStyle w:val="Normal"/>
        <w:ind w:firstLine="0" w:left="0"/>
      </w:pPr>
      <w:rPr/>
    </w:lvl>
  </w:abstractNum>
  <w:abstractNum w:abstractNumId="2">
    <w:nsid w:val="578DECE1"/>
    <w:multiLevelType w:val="singleLevel"/>
    <w:tmpl w:val="578DECE1"/>
    <w:lvl w:ilvl="0">
      <w:start w:val="1"/>
      <w:numFmt w:val="decimal"/>
      <w:suff w:val="space"/>
      <w:lvlText w:val="%1."/>
      <w:lvlJc w:val="left"/>
      <w:pPr>
        <w:pStyle w:val="Normal"/>
      </w:pPr>
      <w:rPr/>
    </w:lvl>
  </w:abstractNum>
  <w:num w:numId="1">
    <w:abstractNumId w:val="0"/>
  </w:num>
  <w:num w:numId="2">
    <w:abstractNumId w:val="1"/>
  </w:num>
  <w:num w:numId="3">
    <w:abstractNumId w:val="2"/>
  </w:num>
</w:numbering>
</file>

<file path=word/settings.xml><?xml version="1.0" encoding="utf-8"?>
<w:settings xmlns:w="http://schemas.openxmlformats.org/wordprocessingml/2006/main">
  <w:defaultTabStop w:val="420"/>
  <w:displayHorizontalDrawingGridEvery w:val="0"/>
  <w:displayVerticalDrawingGridEvery w:val="2"/>
  <w:zoom w:percent="79"/>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widowControl w:val="off"/>
    </w:pPr>
    <w:rPr>
      <w:sz w:val="21"/>
      <w:lang w:val="en-US" w:eastAsia="zh-CN" w:bidi="ar-SA"/>
      <w:szCs w:val="24"/>
      <w:kern w:val="2"/>
    </w:rPr>
  </w:style>
  <w:style w:type="paragraph" w:styleId="Heading1">
    <w:name w:val="标题 1"/>
    <w:basedOn w:val="Normal"/>
    <w:link w:val="Normal"/>
    <w:pPr>
      <w:keepNext w:val="1"/>
      <w:keepLines w:val="1"/>
      <w:jc w:val="center"/>
      <w:outlineLvl w:val="0"/>
      <w:spacing w:after="330" w:before="340" w:line="578" w:lineRule="auto"/>
    </w:pPr>
    <w:rPr>
      <w:b w:val="1"/>
      <w:sz w:val="36"/>
      <w:kern w:val="44"/>
      <w:rFonts w:eastAsia="黑体"/>
    </w:rPr>
  </w:style>
  <w:style w:type="paragraph" w:styleId="Heading2">
    <w:name w:val="标题 2"/>
    <w:basedOn w:val="Normal"/>
    <w:link w:val="Normal"/>
    <w:pPr>
      <w:keepNext w:val="1"/>
      <w:keepLines w:val="1"/>
      <w:jc w:val="center"/>
      <w:outlineLvl w:val="1"/>
      <w:numPr>
        <w:ilvl w:val="1"/>
        <w:numId w:val="2"/>
      </w:numPr>
      <w:spacing w:after="260" w:before="260" w:line="412" w:lineRule="auto"/>
    </w:pPr>
    <w:rPr>
      <w:sz w:val="30"/>
      <w:szCs w:val="20"/>
      <w:rFonts w:ascii="CG Times" w:hAnsi="CG Times"/>
    </w:rPr>
  </w:style>
  <w:style w:type="paragraph" w:styleId="Heading3">
    <w:name w:val="标题 3"/>
    <w:basedOn w:val="Heading1"/>
    <w:link w:val="Normal"/>
    <w:pPr>
      <w:outlineLvl w:val="2"/>
      <w:spacing w:after="260" w:before="260" w:line="413" w:lineRule="auto"/>
    </w:pPr>
    <w:rPr>
      <w:sz w:val="32"/>
    </w:rPr>
  </w:style>
  <w:style w:type="paragraph" w:styleId="Heading4">
    <w:name w:val="标题 4"/>
    <w:basedOn w:val="Normal"/>
    <w:link w:val="Normal"/>
    <w:pPr>
      <w:jc w:val="start"/>
      <w:outlineLvl w:val="3"/>
      <w:spacing w:after="100" w:afterAutospacing="1" w:before="100" w:beforeAutospacing="1"/>
    </w:pPr>
    <w:rPr>
      <w:b w:val="1"/>
      <w:sz w:val="24"/>
      <w:lang w:val="en-US" w:eastAsia="zh-CN" w:bidi="ar"/>
      <w:szCs w:val="24"/>
      <w:kern w:val="0"/>
      <w:bCs/>
      <w:rFonts w:ascii="宋体" w:hAnsi="宋体" w:eastAsia="宋体" w:hint="eastAsia"/>
    </w:rPr>
  </w:style>
  <w:style w:type="character" w:styleId="NormalCharacter">
    <w:name w:val="默认段落字体"/>
    <w:link w:val="Normal"/>
    <w:semiHidden/>
  </w:style>
  <w:style w:type="table" w:styleId="TableNormal">
    <w:name w:val="普通表格"/>
    <w:link w:val="Normal"/>
    <w:semiHidden/>
  </w:style>
  <w:style w:type="character" w:styleId="PageNumber">
    <w:name w:val="页码"/>
    <w:basedOn w:val="NormalCharacter"/>
    <w:link w:val="Normal"/>
  </w:style>
  <w:style w:type="character" w:styleId="UserStyle_0">
    <w:name w:val="NormalCharacter"/>
    <w:link w:val="Normal"/>
    <w:rPr>
      <w:sz w:val="21"/>
      <w:lang w:val="en-US" w:eastAsia="zh-CN" w:bidi="ar-SA"/>
      <w:szCs w:val="24"/>
      <w:kern w:val="2"/>
      <w:rFonts w:ascii="Calibri" w:hAnsi="Calibri"/>
    </w:rPr>
  </w:style>
  <w:style w:type="character" w:styleId="FollowedHyperlink">
    <w:name w:val="已访问的超链接"/>
    <w:basedOn w:val="NormalCharacter"/>
    <w:link w:val="Normal"/>
    <w:rPr>
      <w:u w:val="single"/>
      <w:color w:val="800080"/>
    </w:rPr>
  </w:style>
  <w:style w:type="character" w:styleId="Strong">
    <w:name w:val="要点"/>
    <w:basedOn w:val="NormalCharacter"/>
    <w:link w:val="Normal"/>
    <w:rPr>
      <w:b w:val="1"/>
      <w:rFonts w:ascii="Times New Roman" w:hAnsi="Times New Roman" w:eastAsia="宋体"/>
    </w:rPr>
  </w:style>
  <w:style w:type="character" w:styleId="UserStyle_1">
    <w:name w:val="纯文本 Char"/>
    <w:basedOn w:val="NormalCharacter"/>
    <w:link w:val="PlainText"/>
    <w:rPr>
      <w:sz w:val="21"/>
      <w:lang w:val="en-US" w:eastAsia="zh-CN" w:bidi="ar-SA"/>
      <w:kern w:val="2"/>
      <w:rFonts w:ascii="宋体" w:hAnsi="Courier New" w:eastAsia="宋体"/>
    </w:rPr>
  </w:style>
  <w:style w:type="character" w:styleId="UserStyle_2">
    <w:name w:val="1051"/>
    <w:basedOn w:val="NormalCharacter"/>
    <w:link w:val="Normal"/>
    <w:rPr>
      <w:sz w:val="21"/>
      <w:szCs w:val="21"/>
    </w:rPr>
  </w:style>
  <w:style w:type="character" w:styleId="UserStyle_3">
    <w:name w:val="正文缩进 Char"/>
    <w:link w:val="NormalIndent"/>
    <w:rPr>
      <w:sz w:val="21"/>
      <w:lang w:val="en-US" w:eastAsia="zh-CN" w:bidi="ar-SA"/>
      <w:szCs w:val="24"/>
      <w:kern w:val="2"/>
      <w:rFonts w:eastAsia="宋体"/>
    </w:rPr>
  </w:style>
  <w:style w:type="character" w:styleId="UserStyle_4">
    <w:name w:val="point_normal1"/>
    <w:basedOn w:val="NormalCharacter"/>
    <w:link w:val="Normal"/>
    <w:rPr>
      <w:sz w:val="18"/>
      <w:szCs w:val="18"/>
      <w:rFonts w:ascii="Arial" w:hAnsi="Arial"/>
    </w:rPr>
  </w:style>
  <w:style w:type="character" w:styleId="Hyperlink">
    <w:name w:val="超链接"/>
    <w:basedOn w:val="NormalCharacter"/>
    <w:link w:val="Normal"/>
    <w:rPr>
      <w:u w:val="single"/>
      <w:color w:val="0000ff"/>
    </w:rPr>
  </w:style>
  <w:style w:type="paragraph" w:styleId="UserStyle_5">
    <w:name w:val="样式3"/>
    <w:basedOn w:val="PlainText"/>
    <w:link w:val="Normal"/>
    <w:pPr>
      <w:outlineLvl w:val="0"/>
      <w:spacing w:line="0" w:lineRule="atLeast"/>
    </w:pPr>
    <w:rPr>
      <w:sz w:val="28"/>
    </w:rPr>
  </w:style>
  <w:style w:type="paragraph" w:styleId="UserStyle_6">
    <w:name w:val="BodyText1I2"/>
    <w:basedOn w:val="UserStyle_7"/>
    <w:link w:val="Normal"/>
    <w:pPr>
      <w:tabs>
        <w:tab w:val="left" w:pos="4606"/>
      </w:tabs>
      <w:ind w:firstLine="420"/>
    </w:pPr>
  </w:style>
  <w:style w:type="paragraph" w:styleId="179">
    <w:name w:val="列出段落"/>
    <w:basedOn w:val="Normal"/>
    <w:link w:val="Normal"/>
    <w:pPr>
      <w:ind w:firstLine="420" w:firstLineChars="200"/>
    </w:pPr>
    <w:rPr>
      <w:szCs w:val="22"/>
      <w:rFonts w:ascii="Calibri" w:hAnsi="Calibri"/>
    </w:rPr>
  </w:style>
  <w:style w:type="paragraph" w:styleId="TOC1">
    <w:name w:val="目录 1"/>
    <w:basedOn w:val="Normal"/>
    <w:link w:val="Normal"/>
    <w:semiHidden/>
  </w:style>
  <w:style w:type="paragraph" w:styleId="BodyText">
    <w:name w:val="正文文本"/>
    <w:basedOn w:val="Normal"/>
    <w:link w:val="Normal"/>
    <w:pPr>
      <w:spacing w:after="120"/>
    </w:pPr>
  </w:style>
  <w:style w:type="paragraph" w:styleId="BodyText3">
    <w:name w:val="正文文本 3"/>
    <w:basedOn w:val="Normal"/>
    <w:link w:val="Normal"/>
    <w:pPr>
      <w:spacing w:after="120"/>
    </w:pPr>
    <w:rPr>
      <w:sz w:val="16"/>
      <w:szCs w:val="16"/>
    </w:rPr>
  </w:style>
  <w:style w:type="paragraph" w:styleId="UserStyle_8">
    <w:name w:val="msonor"/>
    <w:basedOn w:val="Normal"/>
    <w:link w:val="Normal"/>
    <w:pPr>
      <w:widowControl w:val="1"/>
      <w:jc w:val="start"/>
      <w:widowControl/>
      <w:spacing w:after="100" w:afterAutospacing="1" w:before="100" w:beforeAutospacing="1"/>
    </w:pPr>
    <w:rPr>
      <w:sz w:val="24"/>
      <w:kern w:val="0"/>
      <w:rFonts w:ascii="宋体" w:hAnsi="宋体"/>
    </w:rPr>
  </w:style>
  <w:style w:type="paragraph" w:styleId="BodyTextIndent2">
    <w:name w:val="正文文本缩进 2"/>
    <w:basedOn w:val="Normal"/>
    <w:link w:val="Normal"/>
    <w:pPr>
      <w:spacing w:line="500" w:lineRule="atLeast"/>
      <w:ind w:firstLine="420" w:firstLineChars="175"/>
    </w:pPr>
    <w:rPr>
      <w:sz w:val="24"/>
      <w:szCs w:val="20"/>
      <w:rFonts w:ascii="新宋体" w:hAnsi="新宋体" w:eastAsia="新宋体"/>
    </w:rPr>
  </w:style>
  <w:style w:type="paragraph" w:styleId="AnnotationText">
    <w:name w:val="批注文字"/>
    <w:basedOn w:val="Normal"/>
    <w:link w:val="Normal"/>
    <w:pPr>
      <w:jc w:val="start"/>
    </w:pPr>
  </w:style>
  <w:style w:type="paragraph" w:styleId="UserStyle_9">
    <w:name w:val="Default Paragraph Font Para Char Char Char Char Char Char"/>
    <w:basedOn w:val="Normal"/>
    <w:link w:val="Normal"/>
    <w:pPr>
      <w:widowControl w:val="1"/>
      <w:jc w:val="start"/>
      <w:widowControl/>
      <w:spacing w:after="160" w:line="240" w:lineRule="exact"/>
    </w:pPr>
    <w:rPr>
      <w:sz w:val="20"/>
      <w:lang w:eastAsia="en-US"/>
      <w:szCs w:val="20"/>
      <w:kern w:val="0"/>
      <w:rFonts w:ascii="Verdana" w:hAnsi="Verdana"/>
    </w:rPr>
  </w:style>
  <w:style w:type="paragraph" w:styleId="PlainText">
    <w:name w:val="纯文本"/>
    <w:basedOn w:val="Normal"/>
    <w:link w:val="UserStyle_1"/>
    <w:rPr>
      <w:szCs w:val="20"/>
      <w:rFonts w:ascii="宋体" w:hAnsi="Courier New"/>
    </w:rPr>
  </w:style>
  <w:style w:type="paragraph" w:styleId="NormalIndent">
    <w:name w:val="正文缩进"/>
    <w:basedOn w:val="Normal"/>
    <w:link w:val="UserStyle_3"/>
    <w:pPr>
      <w:ind w:firstLine="420" w:firstLineChars="200"/>
    </w:pPr>
  </w:style>
  <w:style w:type="paragraph" w:styleId="UserStyle_10">
    <w:name w:val="标3"/>
    <w:basedOn w:val="Normal"/>
    <w:link w:val="Normal"/>
    <w:pPr>
      <w:snapToGrid w:val="0"/>
      <w:outlineLvl w:val="2"/>
      <w:numPr>
        <w:ilvl w:val="2"/>
        <w:numId w:val="1"/>
      </w:numPr>
      <w:tabs>
        <w:tab w:val="clear" w:pos="1740"/>
      </w:tabs>
      <w:spacing w:before="50"/>
      <w:ind w:hanging="420" w:left="1740"/>
    </w:pPr>
    <w:rPr>
      <w:sz w:val="28"/>
      <w:szCs w:val="20"/>
      <w:rFonts w:ascii="Arial Narrow" w:hAnsi="Arial Narrow" w:eastAsia="仿宋_GB2312"/>
    </w:rPr>
  </w:style>
  <w:style w:type="paragraph" w:styleId="UserStyle_7">
    <w:name w:val="BodyTextIndent"/>
    <w:basedOn w:val="Normal"/>
    <w:link w:val="Normal"/>
    <w:pPr>
      <w:spacing w:after="120"/>
      <w:ind w:left="420" w:leftChars="200"/>
    </w:pPr>
  </w:style>
  <w:style w:type="paragraph" w:styleId="Acetate">
    <w:name w:val="批注框文本"/>
    <w:basedOn w:val="Normal"/>
    <w:link w:val="Normal"/>
    <w:semiHidden/>
    <w:rPr>
      <w:sz w:val="18"/>
      <w:szCs w:val="18"/>
    </w:rPr>
  </w:style>
  <w:style w:type="paragraph" w:styleId="UserStyle_12">
    <w:name w:val=" Char1"/>
    <w:basedOn w:val="Normal"/>
    <w:link w:val="Normal"/>
    <w:rPr>
      <w:sz w:val="24"/>
      <w:szCs w:val="20"/>
      <w:rFonts w:ascii="Tahoma" w:hAnsi="Tahoma"/>
    </w:rPr>
  </w:style>
  <w:style w:type="paragraph" w:styleId="UserStyle_13">
    <w:name w:val="Fließtext"/>
    <w:basedOn w:val="Normal"/>
    <w:link w:val="Normal"/>
    <w:pPr>
      <w:overflowPunct w:val="0"/>
      <w:autoSpaceDE w:val="0"/>
      <w:autoSpaceDN w:val="0"/>
    </w:pPr>
    <w:rPr>
      <w:szCs w:val="20"/>
      <w:kern w:val="28"/>
      <w:rFonts w:ascii="Calibri" w:hAnsi="Calibri" w:eastAsia="宋体"/>
    </w:rPr>
  </w:style>
  <w:style w:type="paragraph" w:styleId="UserStyle_14">
    <w:name w:val="Char Char Char"/>
    <w:basedOn w:val="Normal"/>
    <w:link w:val="Normal"/>
    <w:rPr>
      <w:sz w:val="24"/>
      <w:szCs w:val="20"/>
      <w:rFonts w:ascii="Tahoma" w:hAnsi="Tahoma"/>
    </w:rPr>
  </w:style>
  <w:style w:type="paragraph" w:styleId="Footer">
    <w:name w:val="页脚"/>
    <w:basedOn w:val="Normal"/>
    <w:link w:val="Normal"/>
    <w:pPr>
      <w:snapToGrid w:val="0"/>
      <w:jc w:val="start"/>
      <w:tabs>
        <w:tab w:val="center" w:pos="4153"/>
        <w:tab w:val="right" w:pos="8306"/>
      </w:tabs>
    </w:pPr>
    <w:rPr>
      <w:sz w:val="18"/>
      <w:szCs w:val="18"/>
    </w:rPr>
  </w:style>
  <w:style w:type="paragraph" w:styleId="TOC3">
    <w:name w:val="目录 3"/>
    <w:basedOn w:val="Normal"/>
    <w:link w:val="Normal"/>
    <w:pPr>
      <w:ind w:left="840" w:leftChars="400"/>
    </w:pPr>
  </w:style>
  <w:style w:type="paragraph" w:styleId="UserStyle_11">
    <w:name w:val="NormalIndent"/>
    <w:basedOn w:val="Normal"/>
    <w:link w:val="Normal"/>
    <w:pPr>
      <w:ind w:firstLine="420"/>
    </w:pPr>
    <w:rPr>
      <w:szCs w:val="20"/>
    </w:rPr>
  </w:style>
  <w:style w:type="paragraph" w:styleId="Title">
    <w:name w:val="标题"/>
    <w:basedOn w:val="Normal"/>
    <w:link w:val="Normal"/>
    <w:pPr>
      <w:jc w:val="center"/>
      <w:outlineLvl w:val="0"/>
      <w:spacing w:after="60" w:before="240"/>
    </w:pPr>
    <w:rPr>
      <w:b w:val="1"/>
      <w:sz w:val="32"/>
      <w:szCs w:val="32"/>
      <w:kern w:val="0"/>
      <w:bCs/>
      <w:rFonts w:ascii="Cambria" w:hAnsi="Cambria"/>
    </w:rPr>
  </w:style>
  <w:style w:type="paragraph" w:styleId="HtmlNormal">
    <w:name w:val="普通(网站)"/>
    <w:basedOn w:val="Normal"/>
    <w:link w:val="Normal"/>
    <w:pPr>
      <w:widowControl w:val="1"/>
      <w:jc w:val="start"/>
      <w:widowControl/>
      <w:spacing w:after="100" w:afterAutospacing="1" w:before="100" w:beforeAutospacing="1"/>
    </w:pPr>
    <w:rPr>
      <w:sz w:val="24"/>
      <w:kern w:val="0"/>
      <w:rFonts w:ascii="宋体" w:hAnsi="宋体"/>
    </w:rPr>
  </w:style>
  <w:style w:type="paragraph" w:styleId="Date">
    <w:name w:val="日期"/>
    <w:basedOn w:val="Normal"/>
    <w:link w:val="Normal"/>
    <w:pPr>
      <w:ind w:left="100" w:leftChars="2500"/>
    </w:pPr>
  </w:style>
  <w:style w:type="paragraph" w:styleId="Header">
    <w:name w:val="页眉"/>
    <w:basedOn w:val="Normal"/>
    <w:link w:val="Normal"/>
    <w:pPr>
      <w:snapToGrid w:val="0"/>
      <w:jc w:val="center"/>
      <w:pBdr>
        <w:bottom w:val="single" w:color="000000" w:sz="6" w:space="1"/>
      </w:pBdr>
      <w:tabs>
        <w:tab w:val="center" w:pos="4153"/>
        <w:tab w:val="right" w:pos="8306"/>
      </w:tabs>
    </w:pPr>
    <w:rPr>
      <w:sz w:val="18"/>
      <w:szCs w:val="18"/>
    </w:rPr>
  </w:style>
  <w:style w:type="paragraph" w:styleId="UserStyle_15">
    <w:name w:val="无间隔1"/>
    <w:link w:val="Normal"/>
    <w:pPr>
      <w:widowControl w:val="0"/>
      <w:jc w:val="both"/>
      <w:widowControl w:val="off"/>
    </w:pPr>
    <w:rPr>
      <w:sz w:val="21"/>
      <w:lang w:val="en-US" w:eastAsia="zh-CN" w:bidi="ar-SA"/>
      <w:szCs w:val="22"/>
      <w:kern w:val="2"/>
      <w:rFonts w:ascii="Times New Roman" w:hAnsi="Times New Roman" w:eastAsia="宋体"/>
    </w:rPr>
  </w:style>
  <w:style w:type="paragraph" w:styleId="TOC2">
    <w:name w:val="目录 2"/>
    <w:basedOn w:val="Normal"/>
    <w:link w:val="Normal"/>
    <w:semiHidden/>
    <w:pPr>
      <w:jc w:val="center"/>
      <w:tabs>
        <w:tab w:val="right" w:leader="dot" w:pos="9628"/>
      </w:tabs>
      <w:ind w:left="420" w:leftChars="200"/>
    </w:pPr>
  </w:style>
  <w:style w:type="table" w:styleId="TableGrid">
    <w:name w:val="网格型"/>
    <w:basedOn w:val="TableNormal"/>
    <w:link w:val="Normal"/>
    <w:pPr>
      <w:widowControl w:val="0"/>
      <w:jc w:val="both"/>
      <w:widowControl w:val="off"/>
    </w:pPr>
  </w:style>
</w:styles>
</file>

<file path=word/_rels/document.xml.rels><?xml version="1.0" encoding="UTF-8" standalone="yes"?><Relationships xmlns="http://schemas.openxmlformats.org/package/2006/relationships"><Relationship Id="rId13" Type="http://schemas.openxmlformats.org/officeDocument/2006/relationships/header" Target="header7.xml" /><Relationship Id="rId9" Type="http://schemas.openxmlformats.org/officeDocument/2006/relationships/footer" Target="footer1.xml" /><Relationship Id="rId0" Type="http://schemas.openxmlformats.org/officeDocument/2006/relationships/styles" Target="styles.xml" /><Relationship Id="rId7" Type="http://schemas.openxmlformats.org/officeDocument/2006/relationships/header" Target="header4.xml" /><Relationship Id="rId14" Type="http://schemas.openxmlformats.org/officeDocument/2006/relationships/footer" Target="footer4.xml" /><Relationship Id="rId11" Type="http://schemas.openxmlformats.org/officeDocument/2006/relationships/header" Target="header6.xml" /><Relationship Id="rId10" Type="http://schemas.openxmlformats.org/officeDocument/2006/relationships/footer" Target="footer2.xml" /><Relationship Id="rId8" Type="http://schemas.openxmlformats.org/officeDocument/2006/relationships/header" Target="header5.xml" /><Relationship Id="rId12" Type="http://schemas.openxmlformats.org/officeDocument/2006/relationships/footer" Target="footer3.xml" /><Relationship Id="rId4" Type="http://schemas.openxmlformats.org/officeDocument/2006/relationships/header" Target="header1.xml" /><Relationship Id="rId6" Type="http://schemas.openxmlformats.org/officeDocument/2006/relationships/header" Target="header3.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numbering" Target="numbering.xml" /><Relationship Id="rId5" Type="http://schemas.openxmlformats.org/officeDocument/2006/relationships/header" Target="header2.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