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0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中共中央 国务院印发《</w:t>
      </w:r>
      <w:bookmarkStart w:id="0" w:name="_GoBack"/>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教育强国建设规划纲要</w:t>
      </w:r>
    </w:p>
    <w:p w14:paraId="26E50D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宋体" w:hAnsi="宋体" w:eastAsia="宋体" w:cs="宋体"/>
          <w:i w:val="0"/>
          <w:iCs w:val="0"/>
          <w:caps w:val="0"/>
          <w:color w:val="898989"/>
          <w:spacing w:val="0"/>
          <w:sz w:val="21"/>
          <w:szCs w:val="21"/>
          <w:u w:val="none"/>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（2024－2035年）</w:t>
      </w:r>
      <w:bookmarkEnd w:id="0"/>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w:t>
      </w:r>
      <w:r>
        <w:rPr>
          <w:rFonts w:hint="eastAsia" w:ascii="方正小标宋简体" w:hAnsi="方正小标宋简体" w:eastAsia="方正小标宋简体" w:cs="方正小标宋简体"/>
          <w:b/>
          <w:bCs/>
          <w:i w:val="0"/>
          <w:iCs w:val="0"/>
          <w:caps w:val="0"/>
          <w:color w:val="000000"/>
          <w:spacing w:val="0"/>
          <w:kern w:val="0"/>
          <w:sz w:val="36"/>
          <w:szCs w:val="36"/>
          <w:u w:val="none"/>
          <w:bdr w:val="none" w:color="auto" w:sz="0" w:space="0"/>
          <w:shd w:val="clear" w:fill="FFFFFF"/>
          <w:lang w:val="en-US" w:eastAsia="zh-CN" w:bidi="ar"/>
        </w:rPr>
        <w:t> </w:t>
      </w:r>
      <w:r>
        <w:rPr>
          <w:rFonts w:hint="eastAsia" w:ascii="方正小标宋简体" w:hAnsi="方正小标宋简体" w:eastAsia="方正小标宋简体" w:cs="方正小标宋简体"/>
          <w:b/>
          <w:bCs/>
          <w:i w:val="0"/>
          <w:iCs w:val="0"/>
          <w:caps w:val="0"/>
          <w:color w:val="898989"/>
          <w:spacing w:val="0"/>
          <w:kern w:val="0"/>
          <w:sz w:val="36"/>
          <w:szCs w:val="36"/>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14:paraId="6AF1C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为深入贯彻党的二十大关于加快建设教育强国的战略部署，制定本规划纲要。</w:t>
      </w:r>
    </w:p>
    <w:p w14:paraId="19666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一、总体要求</w:t>
      </w:r>
    </w:p>
    <w:p w14:paraId="367E0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0607F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6F42E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216F0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二、塑造立德树人新格局，培养担当民族复兴大任的时代新人</w:t>
      </w:r>
    </w:p>
    <w:p w14:paraId="29EC4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4F1AC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12097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579DA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74E95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056D7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447B3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三、办强办优基础教育，夯实全面提升国民素质战略基点</w:t>
      </w:r>
    </w:p>
    <w:p w14:paraId="46510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68D08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68A25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44DFE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1F9BE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四、增强高等教育综合实力，打造战略引领力量</w:t>
      </w:r>
    </w:p>
    <w:p w14:paraId="0533B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3EF72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06467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5CC45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47261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65B3D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五、培育壮大国家战略科技力量，有力支撑高水平科技自立自强</w:t>
      </w:r>
    </w:p>
    <w:p w14:paraId="2F13F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20384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（十七）促进青年科技人才成长发展。大力弘扬科学家精神，营造鼓励探索、宽容失败的良好环境。培养造就一批高水平师资和学术大师。</w:t>
      </w:r>
    </w:p>
    <w:p w14:paraId="5153F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1A888A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7185C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六、加快建设现代职业教育体系，培养大国工匠、能工巧匠、高技能人才</w:t>
      </w:r>
    </w:p>
    <w:p w14:paraId="383FCC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7183A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04E07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2F1A4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585B0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七、建设学习型社会，以教育数字化开辟发展新赛道、塑造发展新优势</w:t>
      </w:r>
    </w:p>
    <w:p w14:paraId="64B43C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2A557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7C141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7EB47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八、建设高素质专业化教师队伍，筑牢教育强国根基</w:t>
      </w:r>
    </w:p>
    <w:p w14:paraId="19643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550F99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26ED0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6760E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5820F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九、深化教育综合改革，激发教育发展活力</w:t>
      </w:r>
    </w:p>
    <w:p w14:paraId="34562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7C6203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0AD0CC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392B61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445BA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0022C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十、完善教育对外开放战略策略，建设具有全球影响力的重要教育中心</w:t>
      </w:r>
    </w:p>
    <w:p w14:paraId="6054A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2D8FB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77570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15362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十一、加强组织实施</w:t>
      </w:r>
    </w:p>
    <w:p w14:paraId="2CEB0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62DF16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6773B"/>
    <w:rsid w:val="0DB33CD4"/>
    <w:rsid w:val="1AB721C5"/>
    <w:rsid w:val="1B074845"/>
    <w:rsid w:val="32B37473"/>
    <w:rsid w:val="56B6773B"/>
    <w:rsid w:val="656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2025-03-24T02:26:00Z</dcterms:created>
  <dc:creator>zizi</dc:creator>
  <cp:lastModifiedBy>zizi</cp:lastModifiedBy>
  <dcterms:modified xsi:type="dcterms:W3CDTF">2025-03-24T02:36:30Z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BD85B989B767432FB66EAF022156A010_11</vt:lpwstr>
  </property>
  <property fmtid="{D5CDD505-2E9C-101B-9397-08002B2CF9AE}" pid="4" name="KSOTemplateDocerSaveRecord">
    <vt:lpwstr>eyJoZGlkIjoiZDRlZGQyNzFhOTcyNzI1MWNhNTE4MjViMTE4OTcwYmYiLCJ1c2VySWQiOiIxOTMzOTAzNTEifQ==</vt:lpwstr>
  </property>
</Properties>
</file>