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b w:val="1"/>
          <w:sz w:val="40"/>
          <w:szCs w:val="40"/>
          <w:rFonts w:asciiTheme="majorEastAsia" w:eastAsiaTheme="majorEastAsia" w:hAnsiTheme="majorEastAsia" w:cstheme="majorEastAsia"/>
        </w:rPr>
        <w:outlineLvl w:val="1"/>
      </w:pPr>
    </w:p>
    <w:p>
      <w:pPr>
        <w:jc w:val="center"/>
        <w:rPr>
          <w:b w:val="1"/>
          <w:sz w:val="40"/>
          <w:szCs w:val="40"/>
          <w:rFonts w:asciiTheme="majorEastAsia" w:eastAsiaTheme="majorEastAsia" w:hAnsiTheme="majorEastAsia" w:cstheme="majorEastAsia"/>
        </w:rPr>
        <w:outlineLvl w:val="1"/>
      </w:pPr>
    </w:p>
    <w:p>
      <w:pPr>
        <w:jc w:val="center"/>
        <w:spacing w:lineRule="atLeast" w:line="240"/>
        <w:rPr>
          <w:b w:val="1"/>
          <w:color w:val="000000" w:themeColor="text1"/>
          <w:sz w:val="36"/>
          <w:szCs w:val="36"/>
          <w:rFonts w:ascii="黑体" w:eastAsia="黑体" w:hAnsi="黑体" w:cstheme="majorEastAsia" w:hint="eastAsia"/>
        </w:rPr>
        <w:outlineLvl w:val="1"/>
      </w:pPr>
      <w:r>
        <w:rPr>
          <w:b w:val="1"/>
          <w:color w:val="000000" w:themeColor="text1"/>
          <w:sz w:val="36"/>
          <w:szCs w:val="36"/>
          <w:rFonts w:ascii="黑体" w:eastAsia="黑体" w:hAnsi="黑体" w:cstheme="majorEastAsia" w:hint="eastAsia"/>
        </w:rPr>
        <w:t>福州职业技术学院2021年防校园贷、防诈骗</w:t>
      </w:r>
    </w:p>
    <w:p>
      <w:pPr>
        <w:jc w:val="center"/>
        <w:spacing w:lineRule="atLeast" w:line="240"/>
        <w:rPr>
          <w:b w:val="1"/>
          <w:color w:val="000000" w:themeColor="text1"/>
          <w:sz w:val="36"/>
          <w:szCs w:val="36"/>
          <w:rFonts w:ascii="黑体" w:eastAsia="黑体" w:hAnsi="黑体" w:cstheme="majorEastAsia"/>
        </w:rPr>
        <w:outlineLvl w:val="1"/>
      </w:pPr>
      <w:r>
        <w:rPr>
          <w:b w:val="1"/>
          <w:color w:val="000000" w:themeColor="text1"/>
          <w:sz w:val="36"/>
          <w:szCs w:val="36"/>
          <w:rFonts w:ascii="黑体" w:eastAsia="黑体" w:hAnsi="黑体" w:cstheme="majorEastAsia" w:hint="eastAsia"/>
        </w:rPr>
        <w:t>防非法集资安全</w:t>
      </w:r>
      <w:r>
        <w:rPr>
          <w:b w:val="1"/>
          <w:color w:val="000000" w:themeColor="text1"/>
          <w:sz w:val="36"/>
          <w:szCs w:val="36"/>
          <w:rFonts w:ascii="黑体" w:eastAsia="黑体" w:hAnsi="黑体" w:cstheme="majorEastAsia" w:hint="eastAsia"/>
        </w:rPr>
        <w:t>宣传</w:t>
      </w:r>
      <w:r>
        <w:rPr>
          <w:b w:val="1"/>
          <w:sz w:val="36"/>
          <w:szCs w:val="36"/>
          <w:rFonts w:ascii="黑体" w:eastAsia="黑体" w:hAnsi="黑体" w:cstheme="majorEastAsia" w:hint="eastAsia"/>
        </w:rPr>
        <w:t>活动总结</w:t>
      </w:r>
    </w:p>
    <w:p>
      <w:pPr>
        <w:jc w:val="center"/>
        <w:spacing w:lineRule="exact" w:line="520"/>
        <w:rPr>
          <w:b w:val="1"/>
          <w:sz w:val="40"/>
          <w:szCs w:val="40"/>
          <w:rFonts w:asciiTheme="majorEastAsia" w:eastAsiaTheme="majorEastAsia" w:hAnsiTheme="majorEastAsia" w:cstheme="majorEastAsia"/>
        </w:rPr>
      </w:pPr>
    </w:p>
    <w:p>
      <w:pPr>
        <w:spacing w:lineRule="exact" w:line="520"/>
        <w:ind w:firstLine="600"/>
        <w:rPr>
          <w:color w:val="000000" w:themeColor="text1"/>
          <w:sz w:val="28"/>
          <w:szCs w:val="28"/>
          <w:rFonts w:ascii="仿宋" w:eastAsia="仿宋" w:hAnsi="仿宋" w:cstheme="minorEastAsia"/>
        </w:rPr>
        <w:snapToGrid w:val="off"/>
      </w:pP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为进一步提高同学们防骗意识及法律意识，坚决抵制不良校园网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贷和传销陷阱的侵害，以保障全院师生人身财产安全和学生的健康成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长为目标，教育并引导了全体同学树立正确的消费理念，增强同学们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的对校园网贷和传销陷阱的安全防范意识,切实保障了全体同学的权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益及校园的安全稳定。福州职业技术学院制定了防范不良网贷，防范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传销陷阱教育活动方案，营造浓厚的教育氛围，增强活动的实效性，现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把活动情况总结如下：</w:t>
      </w:r>
    </w:p>
    <w:p>
      <w:pPr>
        <w:spacing w:lineRule="exact" w:line="520"/>
        <w:ind w:firstLine="602"/>
        <w:rPr>
          <w:b w:val="1"/>
          <w:color w:val="000000" w:themeColor="text1"/>
          <w:sz w:val="28"/>
          <w:szCs w:val="28"/>
          <w:rFonts w:ascii="仿宋" w:eastAsia="仿宋" w:hAnsi="仿宋" w:cstheme="minorEastAsia"/>
        </w:rPr>
        <w:snapToGrid w:val="off"/>
      </w:pPr>
      <w:r>
        <w:rPr>
          <w:b w:val="1"/>
          <w:color w:val="000000" w:themeColor="text1"/>
          <w:sz w:val="28"/>
          <w:szCs w:val="28"/>
          <w:rFonts w:ascii="仿宋" w:eastAsia="仿宋" w:hAnsi="仿宋" w:cstheme="minorEastAsia" w:hint="eastAsia"/>
        </w:rPr>
        <w:t>一、活动概况</w:t>
      </w:r>
    </w:p>
    <w:p>
      <w:pPr>
        <w:spacing w:lineRule="exact" w:line="520"/>
        <w:ind w:firstLine="600"/>
        <w:rPr>
          <w:color w:val="000000" w:themeColor="text1"/>
          <w:sz w:val="28"/>
          <w:szCs w:val="28"/>
          <w:rFonts w:ascii="仿宋" w:eastAsia="仿宋" w:hAnsi="仿宋" w:cstheme="minorEastAsia"/>
        </w:rPr>
        <w:snapToGrid w:val="off"/>
      </w:pP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学院以“</w:t>
      </w:r>
      <w:r>
        <w:rPr>
          <w:color w:val="333333"/>
          <w:sz w:val="28"/>
          <w:szCs w:val="28"/>
          <w:rFonts w:ascii="仿宋" w:eastAsia="仿宋" w:hAnsi="仿宋" w:cs="Arial" w:hint="eastAsia"/>
        </w:rPr>
        <w:t>防范电信诈骗和非法集资诈骗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”为主题，在福州职业技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术学院行政综合楼大厅开展宣传防范电信诈骗、防范不良网贷，防范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传销陷阱系列活动。</w:t>
      </w:r>
    </w:p>
    <w:p>
      <w:pPr>
        <w:numPr>
          <w:ilvl w:val="0"/>
          <w:numId w:val="1"/>
        </w:numPr>
        <w:spacing w:lineRule="exact" w:line="520"/>
        <w:ind w:firstLine="602"/>
        <w:rPr>
          <w:b w:val="1"/>
          <w:color w:val="000000" w:themeColor="text1"/>
          <w:sz w:val="28"/>
          <w:szCs w:val="28"/>
          <w:rFonts w:ascii="仿宋" w:eastAsia="仿宋" w:hAnsi="仿宋" w:cstheme="minorEastAsia" w:hint="eastAsia"/>
        </w:rPr>
        <w:snapToGrid w:val="off"/>
      </w:pPr>
      <w:r>
        <w:rPr>
          <w:b w:val="1"/>
          <w:color w:val="000000" w:themeColor="text1"/>
          <w:sz w:val="28"/>
          <w:szCs w:val="28"/>
          <w:rFonts w:ascii="仿宋" w:eastAsia="仿宋" w:hAnsi="仿宋" w:cstheme="minorEastAsia" w:hint="eastAsia"/>
        </w:rPr>
        <w:t>活动内容</w:t>
      </w:r>
    </w:p>
    <w:p>
      <w:pPr>
        <w:numPr>
          <w:ilvl w:val="0"/>
          <w:numId w:val="0"/>
        </w:numPr>
        <w:spacing w:lineRule="exact" w:line="520"/>
        <w:ind w:left="0" w:right="0" w:firstLine="602"/>
        <w:rPr>
          <w:color w:val="000000" w:themeColor="text1"/>
          <w:sz w:val="28"/>
          <w:szCs w:val="28"/>
          <w:rFonts w:ascii="仿宋" w:eastAsia="仿宋" w:hAnsi="仿宋" w:cstheme="minorEastAsia"/>
        </w:rPr>
        <w:snapToGrid w:val="off"/>
      </w:pP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1、在行政综合楼大厅门口张贴防范不良网贷，防范传销陷阱主题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海报，将一些防范不良网贷和传销陷阱的信息以大家喜闻乐见的方式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传递给各位同学，以提升同学们自我的安全防范意识，减少不法侵害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发生。</w:t>
      </w:r>
    </w:p>
    <w:p>
      <w:pPr>
        <w:numPr>
          <w:ilvl w:val="0"/>
          <w:numId w:val="0"/>
        </w:numPr>
        <w:jc w:val="left"/>
        <w:spacing w:lineRule="exact" w:line="520"/>
        <w:ind w:left="0" w:right="0" w:firstLine="600"/>
        <w:rPr>
          <w:color w:val="000000" w:themeColor="text1"/>
          <w:sz w:val="28"/>
          <w:szCs w:val="28"/>
          <w:rFonts w:ascii="仿宋" w:eastAsia="仿宋" w:hAnsi="仿宋" w:cstheme="minorEastAsia"/>
        </w:rPr>
        <w:outlineLvl w:val="1"/>
        <w:snapToGrid w:val="off"/>
      </w:pP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2、主要采取各学院出关于防范不良网贷，防范传销陷阱教育专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栏的主题黑板报。利用黑板报向向全院师生宣传防范知识。让大家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充分认识不良网贷和传销陷阱的危害性，培养全校师生的防范意识，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让大家都有防范不良网贷，防范传销陷阱的观念。</w:t>
      </w:r>
    </w:p>
    <w:p>
      <w:pPr>
        <w:numPr>
          <w:ilvl w:val="0"/>
          <w:numId w:val="0"/>
        </w:numPr>
        <w:jc w:val="left"/>
        <w:spacing w:lineRule="exact" w:line="520"/>
        <w:ind w:left="0" w:right="0" w:firstLine="600"/>
        <w:rPr>
          <w:color w:val="000000" w:themeColor="text1"/>
          <w:sz w:val="28"/>
          <w:szCs w:val="28"/>
          <w:rFonts w:ascii="仿宋" w:eastAsia="仿宋" w:hAnsi="仿宋" w:cstheme="minorEastAsia"/>
        </w:rPr>
        <w:outlineLvl w:val="1"/>
        <w:snapToGrid w:val="off"/>
      </w:pP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3、各学院组织召开关防范不良网贷，防范传销陷阱的主题教育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班会活动，宣讲不良网贷和传销陷阱的危害性，并普及了不良网贷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和传销陷阱的主要手段方式，宣讲大学生遇到不良网贷和传销陷阱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时应采取的措施。使学生对各类诈骗手段有了更多的了解，进一步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增强防范意识，营造和谐美好的平安校园。</w:t>
      </w:r>
    </w:p>
    <w:p>
      <w:pPr>
        <w:numPr>
          <w:ilvl w:val="0"/>
          <w:numId w:val="0"/>
        </w:numPr>
        <w:jc w:val="left"/>
        <w:spacing w:lineRule="exact" w:line="520"/>
        <w:ind w:left="0" w:right="0" w:firstLine="600"/>
        <w:rPr>
          <w:color w:val="000000" w:themeColor="text1"/>
          <w:sz w:val="28"/>
          <w:szCs w:val="28"/>
          <w:rFonts w:ascii="仿宋" w:eastAsia="仿宋" w:hAnsi="仿宋" w:cstheme="minorEastAsia"/>
        </w:rPr>
        <w:outlineLvl w:val="1"/>
        <w:snapToGrid w:val="off"/>
      </w:pP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4、为了对防范不良网贷和传销陷阱有深入的了解，福州职业技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术学院在行政综合楼张贴了主题宣传栏，使得同学们进一步提高对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各类诈骗方式的鉴别能力和自我防范意识，懂得采取争取措施规避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危险，掌握紧急情况下自救和互救的知识。</w:t>
      </w:r>
    </w:p>
    <w:p>
      <w:pPr>
        <w:numPr>
          <w:ilvl w:val="0"/>
          <w:numId w:val="3"/>
        </w:numPr>
        <w:spacing w:lineRule="exact" w:line="520"/>
        <w:ind w:firstLine="602"/>
        <w:rPr>
          <w:b w:val="1"/>
          <w:color w:val="000000" w:themeColor="text1"/>
          <w:sz w:val="28"/>
          <w:szCs w:val="28"/>
          <w:rFonts w:ascii="仿宋" w:eastAsia="仿宋" w:hAnsi="仿宋" w:cstheme="minorEastAsia"/>
        </w:rPr>
        <w:snapToGrid w:val="off"/>
      </w:pPr>
      <w:r>
        <w:rPr>
          <w:b w:val="1"/>
          <w:color w:val="000000" w:themeColor="text1"/>
          <w:sz w:val="28"/>
          <w:szCs w:val="28"/>
          <w:rFonts w:ascii="仿宋" w:eastAsia="仿宋" w:hAnsi="仿宋" w:cstheme="minorEastAsia" w:hint="eastAsia"/>
        </w:rPr>
        <w:t>活动成效</w:t>
      </w:r>
    </w:p>
    <w:p>
      <w:pPr>
        <w:numPr>
          <w:ilvl w:val="0"/>
          <w:numId w:val="0"/>
        </w:numPr>
        <w:spacing w:lineRule="exact" w:line="520"/>
        <w:ind w:left="0" w:right="0" w:firstLine="600"/>
        <w:rPr>
          <w:color w:val="000000" w:themeColor="text1"/>
          <w:sz w:val="28"/>
          <w:szCs w:val="28"/>
          <w:rFonts w:ascii="仿宋" w:eastAsia="仿宋" w:hAnsi="仿宋" w:cstheme="minorEastAsia"/>
        </w:rPr>
        <w:snapToGrid w:val="off"/>
      </w:pP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1、提高认识，注重实效</w:t>
      </w:r>
    </w:p>
    <w:p>
      <w:pPr>
        <w:jc w:val="left"/>
        <w:spacing w:lineRule="exact" w:line="520"/>
        <w:ind w:firstLine="560"/>
        <w:rPr>
          <w:color w:val="000000" w:themeColor="text1"/>
          <w:sz w:val="28"/>
          <w:szCs w:val="28"/>
          <w:rFonts w:ascii="仿宋" w:eastAsia="仿宋" w:hAnsi="仿宋" w:cstheme="minorEastAsia"/>
        </w:rPr>
      </w:pP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加强对学生的安全教育，通过丰富多彩的防范不良网贷和传销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陷阱教育活动，不断提高师生对邪教知识的了解，此次活动旨在培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养当代学生的防范意识，使同学们深刻意识到不良网贷和传销陷阱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的危害性，要自觉培养安全防范意识并提高自我保护能力。杜绝诡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诈骗局、智对传销陷阱，共同营造和谐的校园环境。</w:t>
      </w:r>
    </w:p>
    <w:p>
      <w:pPr>
        <w:spacing w:lineRule="exact" w:line="520"/>
        <w:ind w:firstLine="600"/>
        <w:rPr>
          <w:color w:val="000000" w:themeColor="text1"/>
          <w:sz w:val="28"/>
          <w:szCs w:val="28"/>
          <w:rFonts w:ascii="仿宋" w:eastAsia="仿宋" w:hAnsi="仿宋" w:cstheme="minorEastAsia"/>
        </w:rPr>
        <w:snapToGrid w:val="off"/>
      </w:pP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2、营造氛围，效果良好</w:t>
      </w:r>
    </w:p>
    <w:p>
      <w:pPr>
        <w:jc w:val="left"/>
        <w:spacing w:lineRule="exact" w:line="520"/>
        <w:ind w:firstLine="600"/>
        <w:rPr>
          <w:color w:val="000000" w:themeColor="text1"/>
          <w:sz w:val="28"/>
          <w:szCs w:val="28"/>
          <w:rFonts w:ascii="仿宋" w:eastAsia="仿宋" w:hAnsi="仿宋" w:cstheme="minorEastAsia"/>
        </w:rPr>
        <w:outlineLvl w:val="1"/>
        <w:snapToGrid w:val="off"/>
      </w:pP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通过一系列内容丰富、形式活泼的活动，营造“</w:t>
      </w:r>
      <w:r>
        <w:rPr>
          <w:color w:val="333333"/>
          <w:sz w:val="28"/>
          <w:szCs w:val="28"/>
          <w:rFonts w:ascii="仿宋" w:eastAsia="仿宋" w:hAnsi="仿宋" w:cs="Arial" w:hint="eastAsia"/>
        </w:rPr>
        <w:t>防诈骗、防传</w:t>
      </w:r>
      <w:r>
        <w:rPr>
          <w:color w:val="333333"/>
          <w:sz w:val="28"/>
          <w:szCs w:val="28"/>
          <w:rFonts w:ascii="仿宋" w:eastAsia="仿宋" w:hAnsi="仿宋" w:cs="Arial" w:hint="eastAsia"/>
        </w:rPr>
        <w:t>销、防校园贷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”良好氛围，经过师生的共同努力，取得了较好的实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际效果。增强全体学生的防范意识，促进学生身心健康发展。通过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多方面，多渠道，多种形式的宣传，引导学生增强识别诈骗手段的</w:t>
      </w: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>能力，增强防范意识，自觉抵制不良网贷和传销。</w:t>
      </w:r>
    </w:p>
    <w:p>
      <w:pPr>
        <w:jc w:val="right"/>
        <w:spacing w:lineRule="exact" w:line="520"/>
        <w:rPr>
          <w:color w:val="000000" w:themeColor="text1"/>
          <w:sz w:val="28"/>
          <w:szCs w:val="28"/>
          <w:rFonts w:ascii="仿宋" w:eastAsia="仿宋" w:hAnsi="仿宋" w:cstheme="minorEastAsia"/>
        </w:rPr>
      </w:pPr>
    </w:p>
    <w:p>
      <w:pPr>
        <w:jc w:val="left"/>
        <w:spacing w:lineRule="exact" w:line="520"/>
        <w:ind w:left="0" w:firstLine="0" w:leftChars="0"/>
        <w:rPr>
          <w:color w:val="000000" w:themeColor="text1"/>
          <w:sz w:val="28"/>
          <w:szCs w:val="28"/>
          <w:rFonts w:ascii="仿宋" w:eastAsia="仿宋" w:hAnsi="仿宋" w:cstheme="minorEastAsia"/>
        </w:rPr>
        <w:outlineLvl w:val="1"/>
        <w:snapToGrid w:val="off"/>
      </w:pPr>
    </w:p>
    <w:p>
      <w:pPr>
        <w:jc w:val="left"/>
        <w:spacing w:lineRule="exact" w:line="520"/>
        <w:ind w:left="0" w:firstLine="0" w:leftChars="0"/>
        <w:rPr>
          <w:color w:val="000000" w:themeColor="text1"/>
          <w:sz w:val="28"/>
          <w:szCs w:val="28"/>
          <w:rFonts w:ascii="仿宋" w:eastAsia="仿宋" w:hAnsi="仿宋" w:cstheme="minorEastAsia"/>
        </w:rPr>
        <w:outlineLvl w:val="1"/>
        <w:snapToGrid w:val="off"/>
      </w:pPr>
    </w:p>
    <w:p>
      <w:pPr>
        <w:jc w:val="left"/>
        <w:spacing w:lineRule="exact" w:line="520"/>
        <w:ind w:left="420" w:firstLine="0" w:leftChars="420"/>
        <w:rPr>
          <w:color w:val="000000" w:themeColor="text1"/>
          <w:sz w:val="28"/>
          <w:szCs w:val="28"/>
          <w:rFonts w:ascii="仿宋" w:eastAsia="仿宋" w:hAnsi="仿宋" w:cstheme="minorEastAsia"/>
        </w:rPr>
        <w:outlineLvl w:val="1"/>
        <w:snapToGrid w:val="off"/>
      </w:pP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 xml:space="preserve">                              福州职业技术学院保卫处</w:t>
      </w:r>
    </w:p>
    <w:p>
      <w:pPr>
        <w:jc w:val="left"/>
        <w:spacing w:lineRule="exact" w:line="520"/>
        <w:ind w:left="420" w:firstLine="0" w:leftChars="420"/>
        <w:rPr>
          <w:b w:val="1"/>
          <w:sz w:val="28"/>
          <w:szCs w:val="28"/>
          <w:rFonts w:asciiTheme="majorEastAsia" w:eastAsiaTheme="majorEastAsia" w:hAnsiTheme="majorEastAsia" w:cstheme="majorEastAsia"/>
        </w:rPr>
        <w:outlineLvl w:val="1"/>
        <w:snapToGrid w:val="off"/>
      </w:pPr>
      <w:r>
        <w:rPr>
          <w:color w:val="000000" w:themeColor="text1"/>
          <w:sz w:val="28"/>
          <w:szCs w:val="28"/>
          <w:rFonts w:ascii="仿宋" w:eastAsia="仿宋" w:hAnsi="仿宋" w:cstheme="minorEastAsia" w:hint="eastAsia"/>
        </w:rPr>
        <w:t xml:space="preserve">                                  2021年4月10日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2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2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2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chineseCounting"/>
      <w:start w:val="1"/>
      <w:suff w:val="nothing"/>
      <w:rPr>
        <w:rFonts w:hint="eastAsia"/>
      </w:rPr>
      <w:lvlText w:val="（%1）"/>
    </w:lvl>
    <w:lvl w:ilvl="1">
      <w:lvlJc w:val="left"/>
      <w:numFmt w:val="chineseCounting"/>
      <w:start w:val="1"/>
      <w:suff w:val="nothing"/>
      <w:rPr>
        <w:rFonts w:hint="eastAsia"/>
      </w:rPr>
      <w:lvlText w:val="（%1）"/>
    </w:lvl>
    <w:lvl w:ilvl="2">
      <w:lvlJc w:val="left"/>
      <w:numFmt w:val="chineseCounting"/>
      <w:start w:val="1"/>
      <w:suff w:val="nothing"/>
      <w:rPr>
        <w:rFonts w:hint="eastAsia"/>
      </w:rPr>
      <w:lvlText w:val="（%1）"/>
    </w:lvl>
    <w:lvl w:ilvl="3">
      <w:lvlJc w:val="left"/>
      <w:numFmt w:val="chineseCounting"/>
      <w:start w:val="1"/>
      <w:suff w:val="nothing"/>
      <w:rPr>
        <w:rFonts w:hint="eastAsia"/>
      </w:rPr>
      <w:lvlText w:val="（%1）"/>
    </w:lvl>
    <w:lvl w:ilvl="4">
      <w:lvlJc w:val="left"/>
      <w:numFmt w:val="chineseCounting"/>
      <w:start w:val="1"/>
      <w:suff w:val="nothing"/>
      <w:rPr>
        <w:rFonts w:hint="eastAsia"/>
      </w:rPr>
      <w:lvlText w:val="（%1）"/>
    </w:lvl>
    <w:lvl w:ilvl="5">
      <w:lvlJc w:val="left"/>
      <w:numFmt w:val="chineseCounting"/>
      <w:start w:val="1"/>
      <w:suff w:val="nothing"/>
      <w:rPr>
        <w:rFonts w:hint="eastAsia"/>
      </w:rPr>
      <w:lvlText w:val="（%1）"/>
    </w:lvl>
    <w:lvl w:ilvl="6">
      <w:lvlJc w:val="left"/>
      <w:numFmt w:val="chineseCounting"/>
      <w:start w:val="1"/>
      <w:suff w:val="nothing"/>
      <w:rPr>
        <w:rFonts w:hint="eastAsia"/>
      </w:rPr>
      <w:lvlText w:val="（%1）"/>
    </w:lvl>
    <w:lvl w:ilvl="7">
      <w:lvlJc w:val="left"/>
      <w:numFmt w:val="chineseCounting"/>
      <w:start w:val="1"/>
      <w:suff w:val="nothing"/>
      <w:rPr>
        <w:rFonts w:hint="eastAsia"/>
      </w:rPr>
      <w:lvlText w:val="（%1）"/>
    </w:lvl>
    <w:lvl w:ilvl="8">
      <w:lvlJc w:val="left"/>
      <w:numFmt w:val="chineseCounting"/>
      <w:start w:val="1"/>
      <w:suff w:val="nothing"/>
      <w:rPr>
        <w:rFonts w:hint="eastAsia"/>
      </w:rPr>
      <w:lvlText w:val="（%1）"/>
    </w:lvl>
  </w:abstractNum>
  <w:abstractNum w:abstractNumId="1">
    <w:multiLevelType w:val="hybridMultilevel"/>
    <w:nsid w:val="2F000001"/>
    <w:tmpl w:val="1F002411"/>
    <w:lvl w:ilvl="0">
      <w:lvlJc w:val="left"/>
      <w:numFmt w:val="chineseCounting"/>
      <w:start w:val="3"/>
      <w:suff w:val="nothing"/>
      <w:rPr/>
      <w:lvlText w:val="%1、"/>
    </w:lvl>
    <w:lvl w:ilvl="1">
      <w:lvlJc w:val="left"/>
      <w:numFmt w:val="chineseCounting"/>
      <w:start w:val="3"/>
      <w:suff w:val="nothing"/>
      <w:rPr/>
      <w:lvlText w:val="%1、"/>
    </w:lvl>
    <w:lvl w:ilvl="2">
      <w:lvlJc w:val="left"/>
      <w:numFmt w:val="chineseCounting"/>
      <w:start w:val="3"/>
      <w:suff w:val="nothing"/>
      <w:rPr/>
      <w:lvlText w:val="%1、"/>
    </w:lvl>
    <w:lvl w:ilvl="3">
      <w:lvlJc w:val="left"/>
      <w:numFmt w:val="chineseCounting"/>
      <w:start w:val="3"/>
      <w:suff w:val="nothing"/>
      <w:rPr/>
      <w:lvlText w:val="%1、"/>
    </w:lvl>
    <w:lvl w:ilvl="4">
      <w:lvlJc w:val="left"/>
      <w:numFmt w:val="chineseCounting"/>
      <w:start w:val="3"/>
      <w:suff w:val="nothing"/>
      <w:rPr/>
      <w:lvlText w:val="%1、"/>
    </w:lvl>
    <w:lvl w:ilvl="5">
      <w:lvlJc w:val="left"/>
      <w:numFmt w:val="chineseCounting"/>
      <w:start w:val="3"/>
      <w:suff w:val="nothing"/>
      <w:rPr/>
      <w:lvlText w:val="%1、"/>
    </w:lvl>
    <w:lvl w:ilvl="6">
      <w:lvlJc w:val="left"/>
      <w:numFmt w:val="chineseCounting"/>
      <w:start w:val="3"/>
      <w:suff w:val="nothing"/>
      <w:rPr/>
      <w:lvlText w:val="%1、"/>
    </w:lvl>
    <w:lvl w:ilvl="7">
      <w:lvlJc w:val="left"/>
      <w:numFmt w:val="chineseCounting"/>
      <w:start w:val="3"/>
      <w:suff w:val="nothing"/>
      <w:rPr/>
      <w:lvlText w:val="%1、"/>
    </w:lvl>
    <w:lvl w:ilvl="8">
      <w:lvlJc w:val="left"/>
      <w:numFmt w:val="chineseCounting"/>
      <w:start w:val="3"/>
      <w:suff w:val="nothing"/>
      <w:rPr/>
      <w:lvlText w:val="%1、"/>
    </w:lvl>
  </w:abstractNum>
  <w:abstractNum w:abstractNumId="2">
    <w:multiLevelType w:val="hybridMultilevel"/>
    <w:nsid w:val="2F000002"/>
    <w:tmpl w:val="1F000C5F"/>
    <w:lvl w:ilvl="0">
      <w:lvlJc w:val="left"/>
      <w:numFmt w:val="chineseCounting"/>
      <w:start w:val="1"/>
      <w:suff w:val="nothing"/>
      <w:rPr/>
      <w:lvlText w:val="（%1）"/>
    </w:lvl>
    <w:lvl w:ilvl="1">
      <w:lvlJc w:val="left"/>
      <w:numFmt w:val="chineseCounting"/>
      <w:start w:val="1"/>
      <w:suff w:val="nothing"/>
      <w:rPr/>
      <w:lvlText w:val="（%1）"/>
    </w:lvl>
    <w:lvl w:ilvl="2">
      <w:lvlJc w:val="left"/>
      <w:numFmt w:val="chineseCounting"/>
      <w:start w:val="1"/>
      <w:suff w:val="nothing"/>
      <w:rPr/>
      <w:lvlText w:val="（%1）"/>
    </w:lvl>
    <w:lvl w:ilvl="3">
      <w:lvlJc w:val="left"/>
      <w:numFmt w:val="chineseCounting"/>
      <w:start w:val="1"/>
      <w:suff w:val="nothing"/>
      <w:rPr/>
      <w:lvlText w:val="（%1）"/>
    </w:lvl>
    <w:lvl w:ilvl="4">
      <w:lvlJc w:val="left"/>
      <w:numFmt w:val="chineseCounting"/>
      <w:start w:val="1"/>
      <w:suff w:val="nothing"/>
      <w:rPr/>
      <w:lvlText w:val="（%1）"/>
    </w:lvl>
    <w:lvl w:ilvl="5">
      <w:lvlJc w:val="left"/>
      <w:numFmt w:val="chineseCounting"/>
      <w:start w:val="1"/>
      <w:suff w:val="nothing"/>
      <w:rPr/>
      <w:lvlText w:val="（%1）"/>
    </w:lvl>
    <w:lvl w:ilvl="6">
      <w:lvlJc w:val="left"/>
      <w:numFmt w:val="chineseCounting"/>
      <w:start w:val="1"/>
      <w:suff w:val="nothing"/>
      <w:rPr/>
      <w:lvlText w:val="（%1）"/>
    </w:lvl>
    <w:lvl w:ilvl="7">
      <w:lvlJc w:val="left"/>
      <w:numFmt w:val="chineseCounting"/>
      <w:start w:val="1"/>
      <w:suff w:val="nothing"/>
      <w:rPr/>
      <w:lvlText w:val="（%1）"/>
    </w:lvl>
    <w:lvl w:ilvl="8">
      <w:lvlJc w:val="left"/>
      <w:numFmt w:val="chineseCounting"/>
      <w:start w:val="1"/>
      <w:suff w:val="nothing"/>
      <w:rPr/>
      <w:lvlText w:val="（%1）"/>
    </w:lvl>
  </w:abstractNum>
  <w:abstractNum w:abstractNumId="3">
    <w:multiLevelType w:val="hybridMultilevel"/>
    <w:nsid w:val="2F000003"/>
    <w:tmpl w:val="1F0033C2"/>
    <w:lvl w:ilvl="0">
      <w:lvlJc w:val="left"/>
      <w:numFmt w:val="chineseCounting"/>
      <w:start w:val="2"/>
      <w:suff w:val="nothing"/>
      <w:rPr/>
      <w:lvlText w:val="%1、"/>
    </w:lvl>
    <w:lvl w:ilvl="1">
      <w:lvlJc w:val="left"/>
      <w:numFmt w:val="chineseCounting"/>
      <w:start w:val="2"/>
      <w:suff w:val="nothing"/>
      <w:rPr/>
      <w:lvlText w:val="%1、"/>
    </w:lvl>
    <w:lvl w:ilvl="2">
      <w:lvlJc w:val="left"/>
      <w:numFmt w:val="chineseCounting"/>
      <w:start w:val="2"/>
      <w:suff w:val="nothing"/>
      <w:rPr/>
      <w:lvlText w:val="%1、"/>
    </w:lvl>
    <w:lvl w:ilvl="3">
      <w:lvlJc w:val="left"/>
      <w:numFmt w:val="chineseCounting"/>
      <w:start w:val="2"/>
      <w:suff w:val="nothing"/>
      <w:rPr/>
      <w:lvlText w:val="%1、"/>
    </w:lvl>
    <w:lvl w:ilvl="4">
      <w:lvlJc w:val="left"/>
      <w:numFmt w:val="chineseCounting"/>
      <w:start w:val="2"/>
      <w:suff w:val="nothing"/>
      <w:rPr/>
      <w:lvlText w:val="%1、"/>
    </w:lvl>
    <w:lvl w:ilvl="5">
      <w:lvlJc w:val="left"/>
      <w:numFmt w:val="chineseCounting"/>
      <w:start w:val="2"/>
      <w:suff w:val="nothing"/>
      <w:rPr/>
      <w:lvlText w:val="%1、"/>
    </w:lvl>
    <w:lvl w:ilvl="6">
      <w:lvlJc w:val="left"/>
      <w:numFmt w:val="chineseCounting"/>
      <w:start w:val="2"/>
      <w:suff w:val="nothing"/>
      <w:rPr/>
      <w:lvlText w:val="%1、"/>
    </w:lvl>
    <w:lvl w:ilvl="7">
      <w:lvlJc w:val="left"/>
      <w:numFmt w:val="chineseCounting"/>
      <w:start w:val="2"/>
      <w:suff w:val="nothing"/>
      <w:rPr/>
      <w:lvlText w:val="%1、"/>
    </w:lvl>
    <w:lvl w:ilvl="8">
      <w:lvlJc w:val="left"/>
      <w:numFmt w:val="chineseCounting"/>
      <w:start w:val="2"/>
      <w:suff w:val="nothing"/>
      <w:rPr/>
      <w:lvlText w:val="%1、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宋体" w:hAnsi="Times New Roman" w:cs="Times New Roman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Theme="minorHAnsi" w:eastAsiaTheme="minorEastAsia" w:hAnsiTheme="minorHAnsi" w:cstheme="minorBidi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Balloon Text"/>
    <w:basedOn w:val="PO1"/>
    <w:link w:val="PO152"/>
    <w:uiPriority w:val="151"/>
    <w:rPr>
      <w:sz w:val="18"/>
      <w:szCs w:val="18"/>
    </w:rPr>
  </w:style>
  <w:style w:customStyle="1" w:styleId="PO152" w:type="character">
    <w:name w:val="批注框文本 Char"/>
    <w:basedOn w:val="PO2"/>
    <w:link w:val="PO151"/>
    <w:uiPriority w:val="152"/>
    <w:rPr>
      <w:sz w:val="18"/>
      <w:szCs w:val="18"/>
      <w:rFonts w:asciiTheme="minorHAnsi" w:eastAsiaTheme="minorEastAsia" w:hAnsiTheme="minorHAnsi" w:cstheme="minorBidi"/>
    </w:rPr>
  </w:style>
  <w:style w:styleId="PO153" w:type="paragraph">
    <w:name w:val="header"/>
    <w:basedOn w:val="PO1"/>
    <w:link w:val="PO154"/>
    <w:uiPriority w:val="153"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4" w:type="character">
    <w:name w:val="页眉 Char"/>
    <w:basedOn w:val="PO2"/>
    <w:link w:val="PO153"/>
    <w:uiPriority w:val="154"/>
    <w:rPr>
      <w:sz w:val="18"/>
      <w:szCs w:val="18"/>
      <w:rFonts w:asciiTheme="minorHAnsi" w:eastAsiaTheme="minorEastAsia" w:hAnsiTheme="minorHAnsi" w:cstheme="minorBidi"/>
    </w:rPr>
  </w:style>
  <w:style w:styleId="PO155" w:type="paragraph">
    <w:name w:val="footer"/>
    <w:basedOn w:val="PO1"/>
    <w:link w:val="PO156"/>
    <w:uiPriority w:val="155"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6" w:type="character">
    <w:name w:val="页脚 Char"/>
    <w:basedOn w:val="PO2"/>
    <w:link w:val="PO155"/>
    <w:uiPriority w:val="156"/>
    <w:rPr>
      <w:sz w:val="18"/>
      <w:szCs w:val="18"/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微软中国</Company>
  <DocSecurity>0</DocSecurity>
  <HyperlinksChanged>false</HyperlinksChanged>
  <Lines>8</Lines>
  <LinksUpToDate>false</LinksUpToDate>
  <Pages>2</Pages>
  <Paragraphs>2</Paragraphs>
  <Words>171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大众女神</dc:creator>
  <cp:lastModifiedBy/>
  <dcterms:modified xsi:type="dcterms:W3CDTF">2020-05-28T01:20:00Z</dcterms:modified>
</cp:coreProperties>
</file>