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hint="default" w:ascii="仿宋_GB2312" w:hAnsi="华文中宋" w:eastAsia="仿宋_GB2312"/>
          <w:b/>
          <w:color w:val="FF0000"/>
          <w:sz w:val="72"/>
          <w:szCs w:val="72"/>
        </w:rPr>
      </w:pPr>
      <w:r>
        <w:rPr>
          <w:rFonts w:ascii="仿宋_GB2312" w:hAnsi="华文中宋" w:eastAsia="仿宋_GB2312"/>
          <w:b/>
          <w:color w:val="FF0000"/>
          <w:spacing w:val="40"/>
          <w:w w:val="80"/>
          <w:sz w:val="72"/>
          <w:szCs w:val="72"/>
        </w:rPr>
        <w:t>福州</w:t>
      </w:r>
      <w:r>
        <w:rPr>
          <w:rFonts w:ascii="仿宋_GB2312" w:eastAsia="仿宋_GB2312" w:cs="宋体"/>
          <w:b/>
          <w:color w:val="FF0000"/>
          <w:spacing w:val="40"/>
          <w:w w:val="80"/>
          <w:sz w:val="72"/>
          <w:szCs w:val="72"/>
        </w:rPr>
        <w:t>职业</w:t>
      </w:r>
      <w:r>
        <w:rPr>
          <w:rFonts w:ascii="仿宋_GB2312" w:hAnsi="Dotum" w:eastAsia="仿宋_GB2312" w:cs="Dotum"/>
          <w:b/>
          <w:color w:val="FF0000"/>
          <w:spacing w:val="40"/>
          <w:w w:val="80"/>
          <w:sz w:val="72"/>
          <w:szCs w:val="72"/>
        </w:rPr>
        <w:t>技</w:t>
      </w:r>
      <w:r>
        <w:rPr>
          <w:rFonts w:ascii="仿宋_GB2312" w:eastAsia="仿宋_GB2312" w:cs="宋体"/>
          <w:b/>
          <w:color w:val="FF0000"/>
          <w:spacing w:val="40"/>
          <w:w w:val="80"/>
          <w:sz w:val="72"/>
          <w:szCs w:val="72"/>
        </w:rPr>
        <w:t>术学</w:t>
      </w:r>
      <w:r>
        <w:rPr>
          <w:rFonts w:ascii="仿宋_GB2312" w:hAnsi="华文中宋" w:eastAsia="仿宋_GB2312"/>
          <w:b/>
          <w:color w:val="FF0000"/>
          <w:spacing w:val="-100"/>
          <w:w w:val="80"/>
          <w:sz w:val="72"/>
          <w:szCs w:val="72"/>
        </w:rPr>
        <w:t>院</w:t>
      </w:r>
      <w:r>
        <w:rPr>
          <w:rFonts w:ascii="仿宋_GB2312" w:hAnsi="华文中宋" w:eastAsia="仿宋_GB2312"/>
          <w:b/>
          <w:color w:val="FF0000"/>
          <w:sz w:val="72"/>
          <w:szCs w:val="72"/>
        </w:rPr>
        <w:t>（</w:t>
      </w:r>
      <w:r>
        <w:rPr>
          <w:rFonts w:ascii="仿宋_GB2312" w:eastAsia="仿宋_GB2312"/>
          <w:b/>
          <w:sz w:val="32"/>
          <w:szCs w:val="32"/>
        </w:rPr>
        <w:t>教 务 处</w:t>
      </w:r>
      <w:r>
        <w:rPr>
          <w:rFonts w:ascii="仿宋_GB2312" w:hAnsi="华文中宋" w:eastAsia="仿宋_GB2312"/>
          <w:b/>
          <w:color w:val="FF0000"/>
          <w:sz w:val="72"/>
          <w:szCs w:val="72"/>
        </w:rPr>
        <w:t>）</w:t>
      </w:r>
    </w:p>
    <w:p>
      <w:pPr>
        <w:pStyle w:val="4"/>
        <w:spacing w:line="480" w:lineRule="exact"/>
        <w:ind w:firstLine="560"/>
        <w:jc w:val="center"/>
        <w:rPr>
          <w:rFonts w:hint="default" w:ascii="仿宋_GB2312" w:eastAsia="仿宋_GB2312"/>
          <w:sz w:val="28"/>
          <w:szCs w:val="28"/>
        </w:rPr>
      </w:pPr>
      <w:r>
        <w:rPr>
          <w:rFonts w:hint="default" w:ascii="仿宋_GB2312" w:eastAsia="仿宋_GB2312"/>
          <w:sz w:val="28"/>
          <w:szCs w:val="28"/>
        </w:rPr>
        <w:pict>
          <v:line id="_x0000_s1026" o:spid="_x0000_s1026" o:spt="20" style="position:absolute;left:0pt;margin-left:0pt;margin-top:41.65pt;height:0.15pt;width:441pt;z-index:251659264;mso-width-relative:page;mso-height-relative:page;" stroked="t" coordsize="21600,21600">
            <v:path arrowok="t"/>
            <v:fill focussize="0,0"/>
            <v:stroke weight="2.25pt" color="#FF0000"/>
            <v:imagedata o:title=""/>
            <o:lock v:ext="edit"/>
          </v:line>
        </w:pict>
      </w:r>
      <w:r>
        <w:rPr>
          <w:rFonts w:ascii="仿宋_GB2312" w:eastAsia="仿宋_GB2312"/>
          <w:sz w:val="28"/>
          <w:szCs w:val="28"/>
        </w:rPr>
        <w:t>榕职院教务〔2022〕11</w:t>
      </w:r>
      <w:r>
        <w:rPr>
          <w:rFonts w:hint="default" w:ascii="仿宋_GB2312" w:eastAsia="仿宋_GB2312"/>
          <w:sz w:val="28"/>
          <w:szCs w:val="28"/>
        </w:rPr>
        <w:t>号</w:t>
      </w:r>
    </w:p>
    <w:p>
      <w:pPr>
        <w:widowControl/>
        <w:jc w:val="center"/>
        <w:rPr>
          <w:rFonts w:ascii="黑体" w:hAnsi="黑体" w:eastAsia="黑体" w:cs="仿宋_GB2312"/>
          <w:b/>
          <w:kern w:val="0"/>
          <w:sz w:val="36"/>
          <w:szCs w:val="36"/>
        </w:rPr>
      </w:pPr>
      <w:r>
        <w:rPr>
          <w:rFonts w:hint="eastAsia" w:ascii="黑体" w:hAnsi="黑体" w:eastAsia="黑体" w:cs="仿宋_GB2312"/>
          <w:b/>
          <w:kern w:val="0"/>
          <w:sz w:val="36"/>
          <w:szCs w:val="36"/>
        </w:rPr>
        <w:t>2021－2022学年第二学期</w:t>
      </w:r>
    </w:p>
    <w:p>
      <w:pPr>
        <w:widowControl/>
        <w:jc w:val="center"/>
        <w:rPr>
          <w:rFonts w:ascii="黑体" w:hAnsi="黑体" w:eastAsia="黑体" w:cs="仿宋_GB2312"/>
          <w:b/>
          <w:kern w:val="0"/>
          <w:sz w:val="36"/>
          <w:szCs w:val="36"/>
        </w:rPr>
      </w:pPr>
      <w:r>
        <w:rPr>
          <w:rFonts w:hint="eastAsia" w:ascii="黑体" w:hAnsi="黑体" w:eastAsia="黑体" w:cs="仿宋_GB2312"/>
          <w:b/>
          <w:kern w:val="0"/>
          <w:sz w:val="36"/>
          <w:szCs w:val="36"/>
        </w:rPr>
        <w:t>关于</w:t>
      </w:r>
      <w:r>
        <w:rPr>
          <w:rFonts w:hint="eastAsia" w:ascii="黑体" w:hAnsi="黑体" w:eastAsia="黑体" w:cs="仿宋_GB2312"/>
          <w:b/>
          <w:sz w:val="36"/>
          <w:szCs w:val="36"/>
        </w:rPr>
        <w:t>做好在校学生学习成果认定与转换工作</w:t>
      </w:r>
      <w:r>
        <w:rPr>
          <w:rFonts w:hint="eastAsia" w:ascii="黑体" w:hAnsi="黑体" w:eastAsia="黑体" w:cs="仿宋_GB2312"/>
          <w:b/>
          <w:kern w:val="0"/>
          <w:sz w:val="36"/>
          <w:szCs w:val="36"/>
        </w:rPr>
        <w:t>的通知</w:t>
      </w:r>
    </w:p>
    <w:p>
      <w:pPr>
        <w:pStyle w:val="2"/>
        <w:ind w:firstLine="560" w:firstLineChars="200"/>
        <w:rPr>
          <w:rFonts w:ascii="仿宋_GB2312" w:hAnsi="仿宋_GB2312" w:eastAsia="仿宋_GB2312" w:cs="仿宋_GB2312"/>
          <w:kern w:val="0"/>
          <w:sz w:val="28"/>
          <w:szCs w:val="28"/>
        </w:rPr>
      </w:pPr>
    </w:p>
    <w:p>
      <w:pPr>
        <w:pStyle w:val="2"/>
        <w:ind w:left="0" w:firstLine="0"/>
      </w:pPr>
      <w:r>
        <w:rPr>
          <w:rFonts w:hint="eastAsia" w:ascii="仿宋_GB2312" w:hAnsi="仿宋_GB2312" w:eastAsia="仿宋_GB2312" w:cs="仿宋_GB2312"/>
          <w:kern w:val="0"/>
          <w:sz w:val="28"/>
          <w:szCs w:val="28"/>
        </w:rPr>
        <w:t>各系（部、院）、处室、中心、馆：</w:t>
      </w:r>
    </w:p>
    <w:p>
      <w:pPr>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为进一步激发学生的学习积极性，满足学生多样化学习和发展需要，请各系部根据《福州职业技术学院学生学习成果认定与转换实施办法（试行）》（榕职院教〔2021〕7号）及2021年11月22日公布的《福州职业技术学院系（部、院）学习成果及转换课程设定清单》，继续组织做好学生所取得的学习成果认定与课程转换工作；同时做好新一年度《</w:t>
      </w:r>
      <w:r>
        <w:rPr>
          <w:rFonts w:hint="eastAsia" w:ascii="仿宋_GB2312" w:hAnsi="仿宋_GB2312" w:eastAsia="仿宋_GB2312" w:cs="仿宋_GB2312"/>
          <w:color w:val="auto"/>
          <w:sz w:val="28"/>
          <w:szCs w:val="28"/>
          <w:highlight w:val="none"/>
        </w:rPr>
        <w:t>福州职业技术学院系（部、院）</w:t>
      </w:r>
      <w:r>
        <w:rPr>
          <w:rFonts w:hint="eastAsia" w:ascii="仿宋_GB2312" w:hAnsi="仿宋_GB2312" w:eastAsia="仿宋_GB2312" w:cs="仿宋_GB2312"/>
          <w:color w:val="auto"/>
          <w:kern w:val="0"/>
          <w:sz w:val="28"/>
          <w:szCs w:val="28"/>
          <w:highlight w:val="none"/>
        </w:rPr>
        <w:t>学习成果与转换课程设定清单》的设定工作；具体要求如下：</w:t>
      </w:r>
    </w:p>
    <w:p>
      <w:pPr>
        <w:pStyle w:val="2"/>
        <w:ind w:left="0"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请各系（部、院）于2022年3月15日前组织做好本系（部、院）学生学习成果认定与转换课程申请；系（部、院）依据《福州职业技术学院学生学习成果认定与转换实施办法（试行）》（榕职院教〔2021〕7号）第四章“学习成果认定与转换的程序”规定做好审核、汇总、公示等工作，并于2022年4月30日前填写《福州职业技术学院系（部、院）学生学习成果认定与转换情况汇总表（2021至2022学年第二学期）》（附件1）将认定结果报送教务处。</w:t>
      </w:r>
    </w:p>
    <w:p>
      <w:pPr>
        <w:tabs>
          <w:tab w:val="left" w:pos="312"/>
        </w:tabs>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2.教务处汇总并组织审核上报的学习成果认定与转换情况，于2022年6月20日前公布学生学习成果认定和转换结果，各系（部、院）根据结果于2022年6月30日前完成认定与转换工作并记入学生学籍档案。</w:t>
      </w:r>
    </w:p>
    <w:p>
      <w:pPr>
        <w:tabs>
          <w:tab w:val="left" w:pos="312"/>
        </w:tabs>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color w:val="auto"/>
          <w:kern w:val="0"/>
          <w:sz w:val="28"/>
          <w:szCs w:val="28"/>
          <w:highlight w:val="none"/>
        </w:rPr>
        <w:t>3.各系（部、院）及继续教育中心、学生工作处、公共教育部、团委等相关部门根据《福州职业技术学院学生学习成果认定与转换实施办法（试行）》（榕职院教〔2021〕7号）第四章第三章“学习成果与转换课程的设（审）定及流程”规定组织做好2022至2023学年《</w:t>
      </w:r>
      <w:r>
        <w:rPr>
          <w:rFonts w:hint="eastAsia" w:ascii="仿宋_GB2312" w:hAnsi="仿宋_GB2312" w:eastAsia="仿宋_GB2312" w:cs="仿宋_GB2312"/>
          <w:color w:val="auto"/>
          <w:sz w:val="28"/>
          <w:szCs w:val="28"/>
          <w:highlight w:val="none"/>
        </w:rPr>
        <w:t>福州职业技术学院系（部、院）</w:t>
      </w:r>
      <w:r>
        <w:rPr>
          <w:rFonts w:hint="eastAsia" w:ascii="仿宋_GB2312" w:hAnsi="仿宋_GB2312" w:eastAsia="仿宋_GB2312" w:cs="仿宋_GB2312"/>
          <w:color w:val="auto"/>
          <w:kern w:val="0"/>
          <w:sz w:val="28"/>
          <w:szCs w:val="28"/>
          <w:highlight w:val="none"/>
        </w:rPr>
        <w:t>学习成果与转换课程设定清单》（附</w:t>
      </w:r>
      <w:r>
        <w:rPr>
          <w:rFonts w:hint="eastAsia" w:ascii="仿宋_GB2312" w:hAnsi="仿宋_GB2312" w:eastAsia="仿宋_GB2312" w:cs="仿宋_GB2312"/>
          <w:kern w:val="0"/>
          <w:sz w:val="28"/>
          <w:szCs w:val="28"/>
        </w:rPr>
        <w:t>件2）的设定与更新工作，并于2022年6月30日前将签章后的设定清单纸质与电子文档报送教务处备案并在学校网站公布，以此作为下一学年学生学习成果认定与转换的依据。</w:t>
      </w:r>
    </w:p>
    <w:p>
      <w:pPr>
        <w:pStyle w:val="2"/>
        <w:ind w:left="0" w:firstLine="560" w:firstLineChars="200"/>
        <w:rPr>
          <w:rFonts w:ascii="仿宋_GB2312" w:hAnsi="仿宋_GB2312" w:eastAsia="仿宋_GB2312" w:cs="仿宋_GB2312"/>
          <w:kern w:val="0"/>
          <w:sz w:val="28"/>
          <w:szCs w:val="28"/>
        </w:rPr>
      </w:pPr>
    </w:p>
    <w:p>
      <w:pPr>
        <w:pStyle w:val="2"/>
        <w:ind w:left="0" w:firstLine="400" w:firstLineChars="200"/>
      </w:pPr>
    </w:p>
    <w:p>
      <w:pPr>
        <w:pStyle w:val="2"/>
        <w:ind w:firstLine="560" w:firstLineChars="200"/>
        <w:rPr>
          <w:rFonts w:ascii="仿宋_GB2312" w:hAnsi="仿宋_GB2312" w:eastAsia="仿宋_GB2312" w:cs="仿宋_GB2312"/>
          <w:kern w:val="0"/>
          <w:sz w:val="28"/>
          <w:szCs w:val="28"/>
        </w:rPr>
      </w:pPr>
    </w:p>
    <w:p>
      <w:pPr>
        <w:pStyle w:val="2"/>
        <w:ind w:firstLine="560" w:firstLineChars="200"/>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福州职业技术学院教务处</w:t>
      </w:r>
    </w:p>
    <w:p>
      <w:pPr>
        <w:pStyle w:val="2"/>
        <w:ind w:firstLine="560" w:firstLineChars="200"/>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2022年3月</w:t>
      </w:r>
      <w:r>
        <w:rPr>
          <w:rFonts w:hint="eastAsia" w:ascii="仿宋_GB2312" w:hAnsi="仿宋_GB2312" w:eastAsia="仿宋_GB2312" w:cs="仿宋_GB2312"/>
          <w:kern w:val="0"/>
          <w:sz w:val="28"/>
          <w:szCs w:val="28"/>
          <w:lang w:val="en-US" w:eastAsia="zh-CN"/>
        </w:rPr>
        <w:t>7</w:t>
      </w:r>
      <w:bookmarkStart w:id="0" w:name="_GoBack"/>
      <w:bookmarkEnd w:id="0"/>
      <w:r>
        <w:rPr>
          <w:rFonts w:hint="eastAsia" w:ascii="仿宋_GB2312" w:hAnsi="仿宋_GB2312" w:eastAsia="仿宋_GB2312" w:cs="仿宋_GB2312"/>
          <w:kern w:val="0"/>
          <w:sz w:val="28"/>
          <w:szCs w:val="28"/>
        </w:rPr>
        <w:t>日</w:t>
      </w:r>
    </w:p>
    <w:p>
      <w:pPr>
        <w:ind w:firstLine="420" w:firstLineChars="200"/>
        <w:jc w:val="right"/>
        <w:sectPr>
          <w:pgSz w:w="11906" w:h="16838"/>
          <w:pgMar w:top="1440" w:right="1800" w:bottom="1440" w:left="1800" w:header="851" w:footer="992" w:gutter="0"/>
          <w:cols w:space="425" w:num="1"/>
          <w:docGrid w:type="lines" w:linePitch="312" w:charSpace="0"/>
        </w:sectPr>
      </w:pPr>
    </w:p>
    <w:tbl>
      <w:tblPr>
        <w:tblStyle w:val="5"/>
        <w:tblW w:w="4999" w:type="pct"/>
        <w:tblInd w:w="0" w:type="dxa"/>
        <w:tblLayout w:type="fixed"/>
        <w:tblCellMar>
          <w:top w:w="0" w:type="dxa"/>
          <w:left w:w="108" w:type="dxa"/>
          <w:bottom w:w="0" w:type="dxa"/>
          <w:right w:w="108" w:type="dxa"/>
        </w:tblCellMar>
      </w:tblPr>
      <w:tblGrid>
        <w:gridCol w:w="827"/>
        <w:gridCol w:w="603"/>
        <w:gridCol w:w="603"/>
        <w:gridCol w:w="914"/>
        <w:gridCol w:w="553"/>
        <w:gridCol w:w="902"/>
        <w:gridCol w:w="896"/>
        <w:gridCol w:w="559"/>
        <w:gridCol w:w="169"/>
        <w:gridCol w:w="727"/>
        <w:gridCol w:w="896"/>
        <w:gridCol w:w="896"/>
        <w:gridCol w:w="503"/>
        <w:gridCol w:w="467"/>
        <w:gridCol w:w="378"/>
        <w:gridCol w:w="319"/>
        <w:gridCol w:w="349"/>
        <w:gridCol w:w="417"/>
        <w:gridCol w:w="553"/>
        <w:gridCol w:w="896"/>
        <w:gridCol w:w="893"/>
        <w:gridCol w:w="843"/>
        <w:gridCol w:w="171"/>
        <w:gridCol w:w="449"/>
      </w:tblGrid>
      <w:tr>
        <w:tblPrEx>
          <w:tblCellMar>
            <w:top w:w="0" w:type="dxa"/>
            <w:left w:w="108" w:type="dxa"/>
            <w:bottom w:w="0" w:type="dxa"/>
            <w:right w:w="108" w:type="dxa"/>
          </w:tblCellMar>
        </w:tblPrEx>
        <w:trPr>
          <w:trHeight w:val="1080" w:hRule="atLeast"/>
        </w:trPr>
        <w:tc>
          <w:tcPr>
            <w:tcW w:w="5000" w:type="pct"/>
            <w:gridSpan w:val="24"/>
            <w:tcBorders>
              <w:top w:val="nil"/>
              <w:left w:val="nil"/>
              <w:bottom w:val="nil"/>
              <w:right w:val="nil"/>
            </w:tcBorders>
            <w:shd w:val="clear" w:color="auto" w:fill="auto"/>
            <w:vAlign w:val="center"/>
          </w:tcPr>
          <w:p>
            <w:pPr>
              <w:widowControl/>
              <w:jc w:val="left"/>
              <w:rPr>
                <w:rFonts w:ascii="黑体" w:hAnsi="黑体" w:eastAsia="黑体" w:cs="黑体"/>
                <w:sz w:val="28"/>
                <w:szCs w:val="28"/>
              </w:rPr>
            </w:pPr>
            <w:r>
              <w:rPr>
                <w:rFonts w:hint="eastAsia" w:ascii="黑体" w:hAnsi="黑体" w:eastAsia="黑体" w:cs="黑体"/>
                <w:sz w:val="28"/>
                <w:szCs w:val="28"/>
              </w:rPr>
              <w:t>附件1</w:t>
            </w:r>
          </w:p>
          <w:p>
            <w:pPr>
              <w:widowControl/>
              <w:jc w:val="center"/>
              <w:rPr>
                <w:rFonts w:ascii="宋体" w:hAnsi="宋体" w:cs="宋体"/>
                <w:b/>
                <w:bCs/>
                <w:kern w:val="0"/>
                <w:sz w:val="32"/>
                <w:szCs w:val="32"/>
              </w:rPr>
            </w:pPr>
            <w:r>
              <w:rPr>
                <w:rFonts w:hint="eastAsia" w:ascii="宋体" w:hAnsi="宋体" w:cs="宋体"/>
                <w:b/>
                <w:bCs/>
                <w:kern w:val="0"/>
                <w:sz w:val="32"/>
                <w:szCs w:val="32"/>
              </w:rPr>
              <w:t>福州职业技术学院学生学习成果认定与转换申请表汇总表</w:t>
            </w:r>
            <w:r>
              <w:rPr>
                <w:rFonts w:hint="eastAsia" w:ascii="宋体" w:hAnsi="宋体" w:cs="宋体"/>
                <w:b/>
                <w:bCs/>
                <w:kern w:val="0"/>
                <w:sz w:val="32"/>
                <w:szCs w:val="32"/>
              </w:rPr>
              <w:br w:type="textWrapping"/>
            </w:r>
            <w:r>
              <w:rPr>
                <w:rFonts w:hint="eastAsia" w:ascii="宋体" w:hAnsi="宋体" w:cs="宋体"/>
                <w:b/>
                <w:bCs/>
                <w:kern w:val="0"/>
                <w:sz w:val="32"/>
                <w:szCs w:val="32"/>
                <w:highlight w:val="none"/>
              </w:rPr>
              <w:t>2021至2022学年第二学期</w:t>
            </w:r>
          </w:p>
        </w:tc>
      </w:tr>
      <w:tr>
        <w:tblPrEx>
          <w:tblCellMar>
            <w:top w:w="0" w:type="dxa"/>
            <w:left w:w="108" w:type="dxa"/>
            <w:bottom w:w="0" w:type="dxa"/>
            <w:right w:w="108" w:type="dxa"/>
          </w:tblCellMar>
        </w:tblPrEx>
        <w:trPr>
          <w:trHeight w:val="309" w:hRule="atLeast"/>
        </w:trPr>
        <w:tc>
          <w:tcPr>
            <w:tcW w:w="5000" w:type="pct"/>
            <w:gridSpan w:val="24"/>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系（部、中心）名称（盖章）：</w:t>
            </w:r>
          </w:p>
        </w:tc>
      </w:tr>
      <w:tr>
        <w:tblPrEx>
          <w:tblCellMar>
            <w:top w:w="0" w:type="dxa"/>
            <w:left w:w="108" w:type="dxa"/>
            <w:bottom w:w="0" w:type="dxa"/>
            <w:right w:w="108" w:type="dxa"/>
          </w:tblCellMar>
        </w:tblPrEx>
        <w:trPr>
          <w:trHeight w:val="450" w:hRule="atLeast"/>
        </w:trPr>
        <w:tc>
          <w:tcPr>
            <w:tcW w:w="280"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04"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04"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9"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87"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3" w:type="pct"/>
            <w:tcBorders>
              <w:top w:val="nil"/>
              <w:left w:val="nil"/>
              <w:bottom w:val="nil"/>
              <w:right w:val="nil"/>
            </w:tcBorders>
            <w:shd w:val="clear" w:color="auto" w:fill="auto"/>
            <w:noWrap/>
            <w:vAlign w:val="center"/>
          </w:tcPr>
          <w:p>
            <w:pPr>
              <w:widowControl/>
              <w:jc w:val="center"/>
              <w:rPr>
                <w:rFonts w:ascii="宋体" w:hAnsi="宋体" w:cs="宋体"/>
                <w:b/>
                <w:bCs/>
                <w:kern w:val="0"/>
                <w:sz w:val="24"/>
              </w:rPr>
            </w:pPr>
          </w:p>
        </w:tc>
        <w:tc>
          <w:tcPr>
            <w:tcW w:w="303"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89"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3" w:type="pct"/>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3"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3"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456" w:type="pct"/>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25" w:type="pct"/>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28" w:type="pct"/>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3"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587" w:type="pct"/>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填表时间：</w:t>
            </w:r>
          </w:p>
        </w:tc>
        <w:tc>
          <w:tcPr>
            <w:tcW w:w="208" w:type="pct"/>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22" w:hRule="atLeast"/>
        </w:trPr>
        <w:tc>
          <w:tcPr>
            <w:tcW w:w="2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2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学号</w:t>
            </w:r>
          </w:p>
        </w:tc>
        <w:tc>
          <w:tcPr>
            <w:tcW w:w="3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专业、年级、班级</w:t>
            </w:r>
          </w:p>
        </w:tc>
        <w:tc>
          <w:tcPr>
            <w:tcW w:w="18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申请次数</w:t>
            </w:r>
          </w:p>
        </w:tc>
        <w:tc>
          <w:tcPr>
            <w:tcW w:w="1401" w:type="pct"/>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学习成果</w:t>
            </w:r>
          </w:p>
        </w:tc>
        <w:tc>
          <w:tcPr>
            <w:tcW w:w="1616" w:type="pct"/>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课程情况</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累计占专业课学分与学时比例</w:t>
            </w:r>
          </w:p>
        </w:tc>
        <w:tc>
          <w:tcPr>
            <w:tcW w:w="2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累计占总学分与学时比例</w:t>
            </w:r>
          </w:p>
        </w:tc>
        <w:tc>
          <w:tcPr>
            <w:tcW w:w="208"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备注</w:t>
            </w:r>
          </w:p>
        </w:tc>
      </w:tr>
      <w:tr>
        <w:tblPrEx>
          <w:tblCellMar>
            <w:top w:w="0" w:type="dxa"/>
            <w:left w:w="108" w:type="dxa"/>
            <w:bottom w:w="0" w:type="dxa"/>
            <w:right w:w="108" w:type="dxa"/>
          </w:tblCellMar>
        </w:tblPrEx>
        <w:trPr>
          <w:trHeight w:val="1927"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3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8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成果类型</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成果形式</w:t>
            </w:r>
          </w:p>
        </w:tc>
        <w:tc>
          <w:tcPr>
            <w:tcW w:w="24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成果名称（等级）</w:t>
            </w:r>
          </w:p>
        </w:tc>
        <w:tc>
          <w:tcPr>
            <w:tcW w:w="2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发证机构</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获得时间</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课程名称</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课程编码</w:t>
            </w:r>
          </w:p>
        </w:tc>
        <w:tc>
          <w:tcPr>
            <w:tcW w:w="35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课程属性</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学分认定</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成绩认定</w:t>
            </w:r>
          </w:p>
        </w:tc>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08" w:type="pct"/>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8"/>
                <w:szCs w:val="28"/>
              </w:rPr>
            </w:pPr>
          </w:p>
        </w:tc>
      </w:tr>
      <w:tr>
        <w:tblPrEx>
          <w:tblCellMar>
            <w:top w:w="0" w:type="dxa"/>
            <w:left w:w="108" w:type="dxa"/>
            <w:bottom w:w="0" w:type="dxa"/>
            <w:right w:w="108" w:type="dxa"/>
          </w:tblCellMar>
        </w:tblPrEx>
        <w:trPr>
          <w:trHeight w:val="522"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8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46"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5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0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r>
      <w:tr>
        <w:tblPrEx>
          <w:tblCellMar>
            <w:top w:w="0" w:type="dxa"/>
            <w:left w:w="108" w:type="dxa"/>
            <w:bottom w:w="0" w:type="dxa"/>
            <w:right w:w="108" w:type="dxa"/>
          </w:tblCellMar>
        </w:tblPrEx>
        <w:trPr>
          <w:trHeight w:val="522"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8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46"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5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0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22"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8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46"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5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0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22"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8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46"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5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0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22"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20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0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18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246"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24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54"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3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2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20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95" w:hRule="atLeast"/>
        </w:trPr>
        <w:tc>
          <w:tcPr>
            <w:tcW w:w="5000" w:type="pct"/>
            <w:gridSpan w:val="24"/>
            <w:tcBorders>
              <w:top w:val="nil"/>
              <w:left w:val="nil"/>
              <w:bottom w:val="nil"/>
              <w:right w:val="nil"/>
            </w:tcBorders>
            <w:shd w:val="clear" w:color="auto" w:fill="auto"/>
            <w:noWrap/>
            <w:vAlign w:val="center"/>
          </w:tcPr>
          <w:p>
            <w:pPr>
              <w:widowControl/>
              <w:jc w:val="left"/>
              <w:rPr>
                <w:rFonts w:ascii="仿宋" w:hAnsi="仿宋" w:eastAsia="仿宋" w:cs="宋体"/>
                <w:b/>
                <w:kern w:val="0"/>
                <w:sz w:val="18"/>
                <w:szCs w:val="18"/>
              </w:rPr>
            </w:pPr>
            <w:r>
              <w:rPr>
                <w:rFonts w:hint="eastAsia" w:ascii="仿宋" w:hAnsi="仿宋" w:eastAsia="仿宋" w:cs="仿宋_GB2312"/>
                <w:b/>
                <w:sz w:val="18"/>
                <w:szCs w:val="18"/>
              </w:rPr>
              <w:t>备注：认定和转换的全部学分不得超过该专业毕业总学分及总学时数的40%。其中，专业课认定和转换的学分不得超过专业课学分及学时数的30%。</w:t>
            </w:r>
          </w:p>
        </w:tc>
      </w:tr>
      <w:tr>
        <w:tblPrEx>
          <w:tblCellMar>
            <w:top w:w="0" w:type="dxa"/>
            <w:left w:w="108" w:type="dxa"/>
            <w:bottom w:w="0" w:type="dxa"/>
            <w:right w:w="108" w:type="dxa"/>
          </w:tblCellMar>
        </w:tblPrEx>
        <w:trPr>
          <w:trHeight w:val="342" w:hRule="atLeast"/>
        </w:trPr>
        <w:tc>
          <w:tcPr>
            <w:tcW w:w="1489" w:type="pct"/>
            <w:gridSpan w:val="6"/>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系（部、中心）领导：</w:t>
            </w:r>
          </w:p>
        </w:tc>
        <w:tc>
          <w:tcPr>
            <w:tcW w:w="1098" w:type="pct"/>
            <w:gridSpan w:val="5"/>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系（部、中心）审核人：</w:t>
            </w:r>
          </w:p>
        </w:tc>
        <w:tc>
          <w:tcPr>
            <w:tcW w:w="473" w:type="pct"/>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94" w:type="pct"/>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59" w:type="pct"/>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87"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303"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645" w:type="pct"/>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填表人：</w:t>
            </w:r>
          </w:p>
        </w:tc>
        <w:tc>
          <w:tcPr>
            <w:tcW w:w="14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spacing w:line="460" w:lineRule="exact"/>
        <w:rPr>
          <w:rFonts w:ascii="黑体" w:hAnsi="黑体" w:eastAsia="黑体" w:cs="黑体"/>
          <w:sz w:val="28"/>
          <w:szCs w:val="28"/>
        </w:rPr>
        <w:sectPr>
          <w:pgSz w:w="16838" w:h="11906" w:orient="landscape"/>
          <w:pgMar w:top="1134" w:right="1134" w:bottom="1531" w:left="1134" w:header="851" w:footer="992" w:gutter="0"/>
          <w:pgNumType w:fmt="numberInDash"/>
          <w:cols w:space="720" w:num="1"/>
          <w:docGrid w:type="lines" w:linePitch="318" w:charSpace="117"/>
        </w:sectPr>
      </w:pPr>
    </w:p>
    <w:p>
      <w:pPr>
        <w:spacing w:line="460" w:lineRule="exact"/>
        <w:rPr>
          <w:rFonts w:ascii="黑体" w:hAnsi="黑体" w:eastAsia="黑体" w:cs="黑体"/>
          <w:sz w:val="28"/>
          <w:szCs w:val="28"/>
        </w:rPr>
      </w:pPr>
      <w:r>
        <w:rPr>
          <w:rFonts w:hint="eastAsia" w:ascii="黑体" w:hAnsi="黑体" w:eastAsia="黑体" w:cs="黑体"/>
          <w:sz w:val="28"/>
          <w:szCs w:val="28"/>
        </w:rPr>
        <w:t>附件2</w:t>
      </w:r>
    </w:p>
    <w:p>
      <w:pPr>
        <w:widowControl/>
        <w:spacing w:line="480" w:lineRule="auto"/>
        <w:jc w:val="center"/>
        <w:rPr>
          <w:rFonts w:asciiTheme="minorEastAsia" w:hAnsiTheme="minorEastAsia" w:eastAsiaTheme="minorEastAsia"/>
          <w:b/>
          <w:sz w:val="32"/>
          <w:szCs w:val="32"/>
        </w:rPr>
      </w:pPr>
    </w:p>
    <w:p>
      <w:pPr>
        <w:widowControl/>
        <w:spacing w:line="480"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福州职业技术学院系（部、院）学习成果及转换课程设定清单</w:t>
      </w:r>
    </w:p>
    <w:p>
      <w:pPr>
        <w:widowControl/>
        <w:spacing w:line="48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2022至2023学年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122"/>
        <w:gridCol w:w="1326"/>
        <w:gridCol w:w="1392"/>
        <w:gridCol w:w="1122"/>
        <w:gridCol w:w="1935"/>
        <w:gridCol w:w="1818"/>
        <w:gridCol w:w="1090"/>
        <w:gridCol w:w="696"/>
        <w:gridCol w:w="697"/>
        <w:gridCol w:w="110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153"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成果类型</w:t>
            </w:r>
          </w:p>
        </w:tc>
        <w:tc>
          <w:tcPr>
            <w:tcW w:w="136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成果形式</w:t>
            </w:r>
          </w:p>
        </w:tc>
        <w:tc>
          <w:tcPr>
            <w:tcW w:w="142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成果（证书）名称</w:t>
            </w:r>
          </w:p>
        </w:tc>
        <w:tc>
          <w:tcPr>
            <w:tcW w:w="1153"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发证机构</w:t>
            </w:r>
          </w:p>
        </w:tc>
        <w:tc>
          <w:tcPr>
            <w:tcW w:w="2002"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成果内容描述</w:t>
            </w:r>
          </w:p>
        </w:tc>
        <w:tc>
          <w:tcPr>
            <w:tcW w:w="1880"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对应课程名称</w:t>
            </w:r>
          </w:p>
        </w:tc>
        <w:tc>
          <w:tcPr>
            <w:tcW w:w="1120"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课程编号</w:t>
            </w:r>
          </w:p>
        </w:tc>
        <w:tc>
          <w:tcPr>
            <w:tcW w:w="708"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学分</w:t>
            </w:r>
          </w:p>
        </w:tc>
        <w:tc>
          <w:tcPr>
            <w:tcW w:w="709"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等级</w:t>
            </w:r>
          </w:p>
        </w:tc>
        <w:tc>
          <w:tcPr>
            <w:tcW w:w="1134"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成绩认定</w:t>
            </w:r>
          </w:p>
        </w:tc>
        <w:tc>
          <w:tcPr>
            <w:tcW w:w="127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转换课程</w:t>
            </w:r>
          </w:p>
          <w:p>
            <w:pPr>
              <w:jc w:val="center"/>
              <w:rPr>
                <w:rFonts w:ascii="仿宋_GB2312" w:hAnsi="仿宋_GB2312" w:eastAsia="仿宋_GB2312" w:cs="仿宋_GB2312"/>
                <w:b/>
                <w:szCs w:val="21"/>
              </w:rPr>
            </w:pPr>
            <w:r>
              <w:rPr>
                <w:rFonts w:hint="eastAsia" w:ascii="仿宋_GB2312" w:hAnsi="仿宋_GB2312" w:eastAsia="仿宋_GB2312" w:cs="仿宋_GB2312"/>
                <w:b/>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1366" w:type="dxa"/>
          </w:tcPr>
          <w:p>
            <w:pPr>
              <w:widowControl/>
              <w:spacing w:line="480" w:lineRule="auto"/>
              <w:jc w:val="left"/>
              <w:rPr>
                <w:rFonts w:ascii="仿宋_GB2312" w:hAnsi="仿宋_GB2312" w:eastAsia="仿宋_GB2312" w:cs="仿宋_GB2312"/>
                <w:sz w:val="24"/>
              </w:rPr>
            </w:pPr>
          </w:p>
        </w:tc>
        <w:tc>
          <w:tcPr>
            <w:tcW w:w="1426"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2002" w:type="dxa"/>
          </w:tcPr>
          <w:p>
            <w:pPr>
              <w:widowControl/>
              <w:spacing w:line="480" w:lineRule="auto"/>
              <w:jc w:val="left"/>
              <w:rPr>
                <w:rFonts w:ascii="仿宋_GB2312" w:hAnsi="仿宋_GB2312" w:eastAsia="仿宋_GB2312" w:cs="仿宋_GB2312"/>
                <w:sz w:val="24"/>
              </w:rPr>
            </w:pPr>
          </w:p>
        </w:tc>
        <w:tc>
          <w:tcPr>
            <w:tcW w:w="1880" w:type="dxa"/>
          </w:tcPr>
          <w:p>
            <w:pPr>
              <w:widowControl/>
              <w:spacing w:line="480" w:lineRule="auto"/>
              <w:jc w:val="left"/>
              <w:rPr>
                <w:rFonts w:ascii="仿宋_GB2312" w:hAnsi="仿宋_GB2312" w:eastAsia="仿宋_GB2312" w:cs="仿宋_GB2312"/>
                <w:sz w:val="24"/>
              </w:rPr>
            </w:pPr>
          </w:p>
        </w:tc>
        <w:tc>
          <w:tcPr>
            <w:tcW w:w="1120" w:type="dxa"/>
          </w:tcPr>
          <w:p>
            <w:pPr>
              <w:widowControl/>
              <w:spacing w:line="480" w:lineRule="auto"/>
              <w:jc w:val="left"/>
              <w:rPr>
                <w:rFonts w:ascii="仿宋_GB2312" w:hAnsi="仿宋_GB2312" w:eastAsia="仿宋_GB2312" w:cs="仿宋_GB2312"/>
                <w:sz w:val="24"/>
              </w:rPr>
            </w:pPr>
          </w:p>
        </w:tc>
        <w:tc>
          <w:tcPr>
            <w:tcW w:w="708" w:type="dxa"/>
          </w:tcPr>
          <w:p>
            <w:pPr>
              <w:widowControl/>
              <w:spacing w:line="480" w:lineRule="auto"/>
              <w:jc w:val="left"/>
              <w:rPr>
                <w:rFonts w:ascii="仿宋_GB2312" w:hAnsi="仿宋_GB2312" w:eastAsia="仿宋_GB2312" w:cs="仿宋_GB2312"/>
                <w:sz w:val="24"/>
              </w:rPr>
            </w:pPr>
          </w:p>
        </w:tc>
        <w:tc>
          <w:tcPr>
            <w:tcW w:w="709" w:type="dxa"/>
          </w:tcPr>
          <w:p>
            <w:pPr>
              <w:widowControl/>
              <w:spacing w:line="480" w:lineRule="auto"/>
              <w:jc w:val="left"/>
              <w:rPr>
                <w:rFonts w:ascii="仿宋_GB2312" w:hAnsi="仿宋_GB2312" w:eastAsia="仿宋_GB2312" w:cs="仿宋_GB2312"/>
                <w:sz w:val="24"/>
              </w:rPr>
            </w:pPr>
          </w:p>
        </w:tc>
        <w:tc>
          <w:tcPr>
            <w:tcW w:w="1134" w:type="dxa"/>
          </w:tcPr>
          <w:p>
            <w:pPr>
              <w:widowControl/>
              <w:spacing w:line="480" w:lineRule="auto"/>
              <w:jc w:val="left"/>
              <w:rPr>
                <w:rFonts w:ascii="仿宋_GB2312" w:hAnsi="仿宋_GB2312" w:eastAsia="仿宋_GB2312" w:cs="仿宋_GB2312"/>
                <w:sz w:val="24"/>
              </w:rPr>
            </w:pPr>
          </w:p>
        </w:tc>
        <w:tc>
          <w:tcPr>
            <w:tcW w:w="1276" w:type="dxa"/>
          </w:tcPr>
          <w:p>
            <w:pPr>
              <w:widowControl/>
              <w:spacing w:line="480" w:lineRule="auto"/>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1366" w:type="dxa"/>
          </w:tcPr>
          <w:p>
            <w:pPr>
              <w:widowControl/>
              <w:spacing w:line="480" w:lineRule="auto"/>
              <w:jc w:val="left"/>
              <w:rPr>
                <w:rFonts w:ascii="仿宋_GB2312" w:hAnsi="仿宋_GB2312" w:eastAsia="仿宋_GB2312" w:cs="仿宋_GB2312"/>
                <w:sz w:val="24"/>
              </w:rPr>
            </w:pPr>
          </w:p>
        </w:tc>
        <w:tc>
          <w:tcPr>
            <w:tcW w:w="1426"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2002" w:type="dxa"/>
          </w:tcPr>
          <w:p>
            <w:pPr>
              <w:widowControl/>
              <w:spacing w:line="480" w:lineRule="auto"/>
              <w:jc w:val="left"/>
              <w:rPr>
                <w:rFonts w:ascii="仿宋_GB2312" w:hAnsi="仿宋_GB2312" w:eastAsia="仿宋_GB2312" w:cs="仿宋_GB2312"/>
                <w:sz w:val="24"/>
              </w:rPr>
            </w:pPr>
          </w:p>
        </w:tc>
        <w:tc>
          <w:tcPr>
            <w:tcW w:w="1880" w:type="dxa"/>
          </w:tcPr>
          <w:p>
            <w:pPr>
              <w:widowControl/>
              <w:spacing w:line="480" w:lineRule="auto"/>
              <w:jc w:val="left"/>
              <w:rPr>
                <w:rFonts w:ascii="仿宋_GB2312" w:hAnsi="仿宋_GB2312" w:eastAsia="仿宋_GB2312" w:cs="仿宋_GB2312"/>
                <w:sz w:val="24"/>
              </w:rPr>
            </w:pPr>
          </w:p>
        </w:tc>
        <w:tc>
          <w:tcPr>
            <w:tcW w:w="1120" w:type="dxa"/>
          </w:tcPr>
          <w:p>
            <w:pPr>
              <w:widowControl/>
              <w:spacing w:line="480" w:lineRule="auto"/>
              <w:jc w:val="left"/>
              <w:rPr>
                <w:rFonts w:ascii="仿宋_GB2312" w:hAnsi="仿宋_GB2312" w:eastAsia="仿宋_GB2312" w:cs="仿宋_GB2312"/>
                <w:sz w:val="24"/>
              </w:rPr>
            </w:pPr>
          </w:p>
        </w:tc>
        <w:tc>
          <w:tcPr>
            <w:tcW w:w="708" w:type="dxa"/>
          </w:tcPr>
          <w:p>
            <w:pPr>
              <w:widowControl/>
              <w:spacing w:line="480" w:lineRule="auto"/>
              <w:jc w:val="left"/>
              <w:rPr>
                <w:rFonts w:ascii="仿宋_GB2312" w:hAnsi="仿宋_GB2312" w:eastAsia="仿宋_GB2312" w:cs="仿宋_GB2312"/>
                <w:sz w:val="24"/>
              </w:rPr>
            </w:pPr>
          </w:p>
        </w:tc>
        <w:tc>
          <w:tcPr>
            <w:tcW w:w="709" w:type="dxa"/>
          </w:tcPr>
          <w:p>
            <w:pPr>
              <w:widowControl/>
              <w:spacing w:line="480" w:lineRule="auto"/>
              <w:jc w:val="left"/>
              <w:rPr>
                <w:rFonts w:ascii="仿宋_GB2312" w:hAnsi="仿宋_GB2312" w:eastAsia="仿宋_GB2312" w:cs="仿宋_GB2312"/>
                <w:sz w:val="24"/>
              </w:rPr>
            </w:pPr>
          </w:p>
        </w:tc>
        <w:tc>
          <w:tcPr>
            <w:tcW w:w="1134" w:type="dxa"/>
          </w:tcPr>
          <w:p>
            <w:pPr>
              <w:widowControl/>
              <w:spacing w:line="480" w:lineRule="auto"/>
              <w:jc w:val="left"/>
              <w:rPr>
                <w:rFonts w:ascii="仿宋_GB2312" w:hAnsi="仿宋_GB2312" w:eastAsia="仿宋_GB2312" w:cs="仿宋_GB2312"/>
                <w:sz w:val="24"/>
              </w:rPr>
            </w:pPr>
          </w:p>
        </w:tc>
        <w:tc>
          <w:tcPr>
            <w:tcW w:w="1276" w:type="dxa"/>
          </w:tcPr>
          <w:p>
            <w:pPr>
              <w:widowControl/>
              <w:spacing w:line="480" w:lineRule="auto"/>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1366" w:type="dxa"/>
          </w:tcPr>
          <w:p>
            <w:pPr>
              <w:widowControl/>
              <w:spacing w:line="480" w:lineRule="auto"/>
              <w:jc w:val="left"/>
              <w:rPr>
                <w:rFonts w:ascii="仿宋_GB2312" w:hAnsi="仿宋_GB2312" w:eastAsia="仿宋_GB2312" w:cs="仿宋_GB2312"/>
                <w:sz w:val="24"/>
              </w:rPr>
            </w:pPr>
          </w:p>
        </w:tc>
        <w:tc>
          <w:tcPr>
            <w:tcW w:w="1426"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2002" w:type="dxa"/>
          </w:tcPr>
          <w:p>
            <w:pPr>
              <w:widowControl/>
              <w:spacing w:line="480" w:lineRule="auto"/>
              <w:jc w:val="left"/>
              <w:rPr>
                <w:rFonts w:ascii="仿宋_GB2312" w:hAnsi="仿宋_GB2312" w:eastAsia="仿宋_GB2312" w:cs="仿宋_GB2312"/>
                <w:sz w:val="24"/>
              </w:rPr>
            </w:pPr>
          </w:p>
        </w:tc>
        <w:tc>
          <w:tcPr>
            <w:tcW w:w="1880" w:type="dxa"/>
          </w:tcPr>
          <w:p>
            <w:pPr>
              <w:widowControl/>
              <w:spacing w:line="480" w:lineRule="auto"/>
              <w:jc w:val="left"/>
              <w:rPr>
                <w:rFonts w:ascii="仿宋_GB2312" w:hAnsi="仿宋_GB2312" w:eastAsia="仿宋_GB2312" w:cs="仿宋_GB2312"/>
                <w:sz w:val="24"/>
              </w:rPr>
            </w:pPr>
          </w:p>
        </w:tc>
        <w:tc>
          <w:tcPr>
            <w:tcW w:w="1120" w:type="dxa"/>
          </w:tcPr>
          <w:p>
            <w:pPr>
              <w:widowControl/>
              <w:spacing w:line="480" w:lineRule="auto"/>
              <w:jc w:val="left"/>
              <w:rPr>
                <w:rFonts w:ascii="仿宋_GB2312" w:hAnsi="仿宋_GB2312" w:eastAsia="仿宋_GB2312" w:cs="仿宋_GB2312"/>
                <w:sz w:val="24"/>
              </w:rPr>
            </w:pPr>
          </w:p>
        </w:tc>
        <w:tc>
          <w:tcPr>
            <w:tcW w:w="708" w:type="dxa"/>
          </w:tcPr>
          <w:p>
            <w:pPr>
              <w:widowControl/>
              <w:spacing w:line="480" w:lineRule="auto"/>
              <w:jc w:val="left"/>
              <w:rPr>
                <w:rFonts w:ascii="仿宋_GB2312" w:hAnsi="仿宋_GB2312" w:eastAsia="仿宋_GB2312" w:cs="仿宋_GB2312"/>
                <w:sz w:val="24"/>
              </w:rPr>
            </w:pPr>
          </w:p>
        </w:tc>
        <w:tc>
          <w:tcPr>
            <w:tcW w:w="709" w:type="dxa"/>
          </w:tcPr>
          <w:p>
            <w:pPr>
              <w:widowControl/>
              <w:spacing w:line="480" w:lineRule="auto"/>
              <w:jc w:val="left"/>
              <w:rPr>
                <w:rFonts w:ascii="仿宋_GB2312" w:hAnsi="仿宋_GB2312" w:eastAsia="仿宋_GB2312" w:cs="仿宋_GB2312"/>
                <w:sz w:val="24"/>
              </w:rPr>
            </w:pPr>
          </w:p>
        </w:tc>
        <w:tc>
          <w:tcPr>
            <w:tcW w:w="1134" w:type="dxa"/>
          </w:tcPr>
          <w:p>
            <w:pPr>
              <w:widowControl/>
              <w:spacing w:line="480" w:lineRule="auto"/>
              <w:jc w:val="left"/>
              <w:rPr>
                <w:rFonts w:ascii="仿宋_GB2312" w:hAnsi="仿宋_GB2312" w:eastAsia="仿宋_GB2312" w:cs="仿宋_GB2312"/>
                <w:sz w:val="24"/>
              </w:rPr>
            </w:pPr>
          </w:p>
        </w:tc>
        <w:tc>
          <w:tcPr>
            <w:tcW w:w="1276" w:type="dxa"/>
          </w:tcPr>
          <w:p>
            <w:pPr>
              <w:widowControl/>
              <w:spacing w:line="480" w:lineRule="auto"/>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1366" w:type="dxa"/>
          </w:tcPr>
          <w:p>
            <w:pPr>
              <w:widowControl/>
              <w:spacing w:line="480" w:lineRule="auto"/>
              <w:jc w:val="left"/>
              <w:rPr>
                <w:rFonts w:ascii="仿宋_GB2312" w:hAnsi="仿宋_GB2312" w:eastAsia="仿宋_GB2312" w:cs="仿宋_GB2312"/>
                <w:sz w:val="24"/>
              </w:rPr>
            </w:pPr>
          </w:p>
        </w:tc>
        <w:tc>
          <w:tcPr>
            <w:tcW w:w="1426"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2002" w:type="dxa"/>
          </w:tcPr>
          <w:p>
            <w:pPr>
              <w:widowControl/>
              <w:spacing w:line="480" w:lineRule="auto"/>
              <w:jc w:val="left"/>
              <w:rPr>
                <w:rFonts w:ascii="仿宋_GB2312" w:hAnsi="仿宋_GB2312" w:eastAsia="仿宋_GB2312" w:cs="仿宋_GB2312"/>
                <w:sz w:val="24"/>
              </w:rPr>
            </w:pPr>
          </w:p>
        </w:tc>
        <w:tc>
          <w:tcPr>
            <w:tcW w:w="1880" w:type="dxa"/>
          </w:tcPr>
          <w:p>
            <w:pPr>
              <w:widowControl/>
              <w:spacing w:line="480" w:lineRule="auto"/>
              <w:jc w:val="left"/>
              <w:rPr>
                <w:rFonts w:ascii="仿宋_GB2312" w:hAnsi="仿宋_GB2312" w:eastAsia="仿宋_GB2312" w:cs="仿宋_GB2312"/>
                <w:sz w:val="24"/>
              </w:rPr>
            </w:pPr>
          </w:p>
        </w:tc>
        <w:tc>
          <w:tcPr>
            <w:tcW w:w="1120" w:type="dxa"/>
          </w:tcPr>
          <w:p>
            <w:pPr>
              <w:widowControl/>
              <w:spacing w:line="480" w:lineRule="auto"/>
              <w:jc w:val="left"/>
              <w:rPr>
                <w:rFonts w:ascii="仿宋_GB2312" w:hAnsi="仿宋_GB2312" w:eastAsia="仿宋_GB2312" w:cs="仿宋_GB2312"/>
                <w:sz w:val="24"/>
              </w:rPr>
            </w:pPr>
          </w:p>
        </w:tc>
        <w:tc>
          <w:tcPr>
            <w:tcW w:w="708" w:type="dxa"/>
          </w:tcPr>
          <w:p>
            <w:pPr>
              <w:widowControl/>
              <w:spacing w:line="480" w:lineRule="auto"/>
              <w:jc w:val="left"/>
              <w:rPr>
                <w:rFonts w:ascii="仿宋_GB2312" w:hAnsi="仿宋_GB2312" w:eastAsia="仿宋_GB2312" w:cs="仿宋_GB2312"/>
                <w:sz w:val="24"/>
              </w:rPr>
            </w:pPr>
          </w:p>
        </w:tc>
        <w:tc>
          <w:tcPr>
            <w:tcW w:w="709" w:type="dxa"/>
          </w:tcPr>
          <w:p>
            <w:pPr>
              <w:widowControl/>
              <w:spacing w:line="480" w:lineRule="auto"/>
              <w:jc w:val="left"/>
              <w:rPr>
                <w:rFonts w:ascii="仿宋_GB2312" w:hAnsi="仿宋_GB2312" w:eastAsia="仿宋_GB2312" w:cs="仿宋_GB2312"/>
                <w:sz w:val="24"/>
              </w:rPr>
            </w:pPr>
          </w:p>
        </w:tc>
        <w:tc>
          <w:tcPr>
            <w:tcW w:w="1134" w:type="dxa"/>
          </w:tcPr>
          <w:p>
            <w:pPr>
              <w:widowControl/>
              <w:spacing w:line="480" w:lineRule="auto"/>
              <w:jc w:val="left"/>
              <w:rPr>
                <w:rFonts w:ascii="仿宋_GB2312" w:hAnsi="仿宋_GB2312" w:eastAsia="仿宋_GB2312" w:cs="仿宋_GB2312"/>
                <w:sz w:val="24"/>
              </w:rPr>
            </w:pPr>
          </w:p>
        </w:tc>
        <w:tc>
          <w:tcPr>
            <w:tcW w:w="1276" w:type="dxa"/>
          </w:tcPr>
          <w:p>
            <w:pPr>
              <w:widowControl/>
              <w:spacing w:line="480" w:lineRule="auto"/>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1366" w:type="dxa"/>
          </w:tcPr>
          <w:p>
            <w:pPr>
              <w:widowControl/>
              <w:spacing w:line="480" w:lineRule="auto"/>
              <w:jc w:val="left"/>
              <w:rPr>
                <w:rFonts w:ascii="仿宋_GB2312" w:hAnsi="仿宋_GB2312" w:eastAsia="仿宋_GB2312" w:cs="仿宋_GB2312"/>
                <w:sz w:val="24"/>
              </w:rPr>
            </w:pPr>
          </w:p>
        </w:tc>
        <w:tc>
          <w:tcPr>
            <w:tcW w:w="1426" w:type="dxa"/>
          </w:tcPr>
          <w:p>
            <w:pPr>
              <w:widowControl/>
              <w:spacing w:line="480" w:lineRule="auto"/>
              <w:jc w:val="left"/>
              <w:rPr>
                <w:rFonts w:ascii="仿宋_GB2312" w:hAnsi="仿宋_GB2312" w:eastAsia="仿宋_GB2312" w:cs="仿宋_GB2312"/>
                <w:sz w:val="24"/>
              </w:rPr>
            </w:pPr>
          </w:p>
        </w:tc>
        <w:tc>
          <w:tcPr>
            <w:tcW w:w="1153" w:type="dxa"/>
          </w:tcPr>
          <w:p>
            <w:pPr>
              <w:widowControl/>
              <w:spacing w:line="480" w:lineRule="auto"/>
              <w:jc w:val="left"/>
              <w:rPr>
                <w:rFonts w:ascii="仿宋_GB2312" w:hAnsi="仿宋_GB2312" w:eastAsia="仿宋_GB2312" w:cs="仿宋_GB2312"/>
                <w:sz w:val="24"/>
              </w:rPr>
            </w:pPr>
          </w:p>
        </w:tc>
        <w:tc>
          <w:tcPr>
            <w:tcW w:w="2002" w:type="dxa"/>
          </w:tcPr>
          <w:p>
            <w:pPr>
              <w:widowControl/>
              <w:spacing w:line="480" w:lineRule="auto"/>
              <w:jc w:val="left"/>
              <w:rPr>
                <w:rFonts w:ascii="仿宋_GB2312" w:hAnsi="仿宋_GB2312" w:eastAsia="仿宋_GB2312" w:cs="仿宋_GB2312"/>
                <w:sz w:val="24"/>
              </w:rPr>
            </w:pPr>
          </w:p>
        </w:tc>
        <w:tc>
          <w:tcPr>
            <w:tcW w:w="1880" w:type="dxa"/>
          </w:tcPr>
          <w:p>
            <w:pPr>
              <w:widowControl/>
              <w:spacing w:line="480" w:lineRule="auto"/>
              <w:jc w:val="left"/>
              <w:rPr>
                <w:rFonts w:ascii="仿宋_GB2312" w:hAnsi="仿宋_GB2312" w:eastAsia="仿宋_GB2312" w:cs="仿宋_GB2312"/>
                <w:sz w:val="24"/>
              </w:rPr>
            </w:pPr>
          </w:p>
        </w:tc>
        <w:tc>
          <w:tcPr>
            <w:tcW w:w="1120" w:type="dxa"/>
          </w:tcPr>
          <w:p>
            <w:pPr>
              <w:widowControl/>
              <w:spacing w:line="480" w:lineRule="auto"/>
              <w:jc w:val="left"/>
              <w:rPr>
                <w:rFonts w:ascii="仿宋_GB2312" w:hAnsi="仿宋_GB2312" w:eastAsia="仿宋_GB2312" w:cs="仿宋_GB2312"/>
                <w:sz w:val="24"/>
              </w:rPr>
            </w:pPr>
          </w:p>
        </w:tc>
        <w:tc>
          <w:tcPr>
            <w:tcW w:w="708" w:type="dxa"/>
          </w:tcPr>
          <w:p>
            <w:pPr>
              <w:widowControl/>
              <w:spacing w:line="480" w:lineRule="auto"/>
              <w:jc w:val="left"/>
              <w:rPr>
                <w:rFonts w:ascii="仿宋_GB2312" w:hAnsi="仿宋_GB2312" w:eastAsia="仿宋_GB2312" w:cs="仿宋_GB2312"/>
                <w:sz w:val="24"/>
              </w:rPr>
            </w:pPr>
          </w:p>
        </w:tc>
        <w:tc>
          <w:tcPr>
            <w:tcW w:w="709" w:type="dxa"/>
          </w:tcPr>
          <w:p>
            <w:pPr>
              <w:widowControl/>
              <w:spacing w:line="480" w:lineRule="auto"/>
              <w:jc w:val="left"/>
              <w:rPr>
                <w:rFonts w:ascii="仿宋_GB2312" w:hAnsi="仿宋_GB2312" w:eastAsia="仿宋_GB2312" w:cs="仿宋_GB2312"/>
                <w:sz w:val="24"/>
              </w:rPr>
            </w:pPr>
          </w:p>
        </w:tc>
        <w:tc>
          <w:tcPr>
            <w:tcW w:w="1134" w:type="dxa"/>
          </w:tcPr>
          <w:p>
            <w:pPr>
              <w:widowControl/>
              <w:spacing w:line="480" w:lineRule="auto"/>
              <w:jc w:val="left"/>
              <w:rPr>
                <w:rFonts w:ascii="仿宋_GB2312" w:hAnsi="仿宋_GB2312" w:eastAsia="仿宋_GB2312" w:cs="仿宋_GB2312"/>
                <w:sz w:val="24"/>
              </w:rPr>
            </w:pPr>
          </w:p>
        </w:tc>
        <w:tc>
          <w:tcPr>
            <w:tcW w:w="1276" w:type="dxa"/>
          </w:tcPr>
          <w:p>
            <w:pPr>
              <w:widowControl/>
              <w:spacing w:line="480" w:lineRule="auto"/>
              <w:jc w:val="left"/>
              <w:rPr>
                <w:rFonts w:ascii="仿宋_GB2312" w:hAnsi="仿宋_GB2312" w:eastAsia="仿宋_GB2312" w:cs="仿宋_GB2312"/>
                <w:sz w:val="24"/>
              </w:rPr>
            </w:pPr>
          </w:p>
        </w:tc>
      </w:tr>
    </w:tbl>
    <w:p>
      <w:pPr>
        <w:widowControl/>
        <w:spacing w:line="480" w:lineRule="auto"/>
        <w:jc w:val="left"/>
        <w:rPr>
          <w:rFonts w:ascii="仿宋_GB2312" w:hAnsi="仿宋_GB2312" w:eastAsia="仿宋_GB2312" w:cs="仿宋_GB2312"/>
          <w:sz w:val="24"/>
        </w:rPr>
      </w:pPr>
      <w:r>
        <w:rPr>
          <w:rFonts w:hint="eastAsia" w:ascii="仿宋_GB2312" w:hAnsi="仿宋_GB2312" w:eastAsia="仿宋_GB2312" w:cs="仿宋_GB2312"/>
          <w:sz w:val="24"/>
        </w:rPr>
        <w:t>专业（课程）教研室负责人签字：</w:t>
      </w:r>
    </w:p>
    <w:p>
      <w:pPr>
        <w:widowControl/>
        <w:spacing w:line="480" w:lineRule="auto"/>
        <w:jc w:val="left"/>
        <w:rPr>
          <w:rFonts w:ascii="仿宋_GB2312" w:hAnsi="仿宋_GB2312" w:eastAsia="仿宋_GB2312" w:cs="仿宋_GB2312"/>
          <w:sz w:val="24"/>
        </w:rPr>
      </w:pPr>
      <w:r>
        <w:rPr>
          <w:rFonts w:hint="eastAsia" w:ascii="仿宋_GB2312" w:hAnsi="仿宋_GB2312" w:eastAsia="仿宋_GB2312" w:cs="仿宋_GB2312"/>
          <w:sz w:val="24"/>
        </w:rPr>
        <w:t>相关职能部门负责人签字（公章）：</w:t>
      </w:r>
    </w:p>
    <w:p>
      <w:pPr>
        <w:widowControl/>
        <w:spacing w:line="480" w:lineRule="auto"/>
        <w:jc w:val="left"/>
        <w:rPr>
          <w:rFonts w:ascii="仿宋_GB2312" w:hAnsi="仿宋_GB2312" w:eastAsia="仿宋_GB2312" w:cs="仿宋_GB2312"/>
          <w:sz w:val="24"/>
        </w:rPr>
      </w:pPr>
      <w:r>
        <w:rPr>
          <w:rFonts w:hint="eastAsia" w:ascii="仿宋_GB2312" w:hAnsi="仿宋_GB2312" w:eastAsia="仿宋_GB2312" w:cs="仿宋_GB2312"/>
          <w:sz w:val="24"/>
        </w:rPr>
        <w:t>系（部、院）负责人签字（公章）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modern"/>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EF44E2"/>
    <w:rsid w:val="000342BA"/>
    <w:rsid w:val="00053659"/>
    <w:rsid w:val="002C080F"/>
    <w:rsid w:val="00357DDD"/>
    <w:rsid w:val="003B7698"/>
    <w:rsid w:val="00437AE1"/>
    <w:rsid w:val="004502FB"/>
    <w:rsid w:val="004804ED"/>
    <w:rsid w:val="004B2C9A"/>
    <w:rsid w:val="006E5EB8"/>
    <w:rsid w:val="007156AC"/>
    <w:rsid w:val="007576B9"/>
    <w:rsid w:val="007C1829"/>
    <w:rsid w:val="009C2940"/>
    <w:rsid w:val="009C476F"/>
    <w:rsid w:val="009F09D7"/>
    <w:rsid w:val="009F311A"/>
    <w:rsid w:val="00A261FA"/>
    <w:rsid w:val="00A66064"/>
    <w:rsid w:val="00B55B77"/>
    <w:rsid w:val="00B86B83"/>
    <w:rsid w:val="00BB4BA2"/>
    <w:rsid w:val="00C42ABE"/>
    <w:rsid w:val="00C56DD3"/>
    <w:rsid w:val="00CF0B42"/>
    <w:rsid w:val="00D7419D"/>
    <w:rsid w:val="00DC3FCF"/>
    <w:rsid w:val="00E638AE"/>
    <w:rsid w:val="00F00F07"/>
    <w:rsid w:val="00F03D69"/>
    <w:rsid w:val="00F625C6"/>
    <w:rsid w:val="00F700CE"/>
    <w:rsid w:val="00F97843"/>
    <w:rsid w:val="00FE4ED1"/>
    <w:rsid w:val="01291F03"/>
    <w:rsid w:val="030D6033"/>
    <w:rsid w:val="057B224B"/>
    <w:rsid w:val="0D3E0638"/>
    <w:rsid w:val="0E295EAB"/>
    <w:rsid w:val="0F8E6C58"/>
    <w:rsid w:val="10E817F3"/>
    <w:rsid w:val="13557018"/>
    <w:rsid w:val="13840FAE"/>
    <w:rsid w:val="14D95990"/>
    <w:rsid w:val="18322C5B"/>
    <w:rsid w:val="19C8243A"/>
    <w:rsid w:val="1A386BA5"/>
    <w:rsid w:val="1ABF558D"/>
    <w:rsid w:val="1AC956B2"/>
    <w:rsid w:val="1B4F2340"/>
    <w:rsid w:val="1CB02452"/>
    <w:rsid w:val="1DE13795"/>
    <w:rsid w:val="1E163473"/>
    <w:rsid w:val="1F2D39A8"/>
    <w:rsid w:val="23977661"/>
    <w:rsid w:val="23A7282D"/>
    <w:rsid w:val="23E40B89"/>
    <w:rsid w:val="246C3241"/>
    <w:rsid w:val="25AF74BD"/>
    <w:rsid w:val="272A51EF"/>
    <w:rsid w:val="285C3D68"/>
    <w:rsid w:val="2D505929"/>
    <w:rsid w:val="2EFC533E"/>
    <w:rsid w:val="30AB2DF1"/>
    <w:rsid w:val="31E932EA"/>
    <w:rsid w:val="340D18F4"/>
    <w:rsid w:val="34CD7E4F"/>
    <w:rsid w:val="36700D12"/>
    <w:rsid w:val="383B6579"/>
    <w:rsid w:val="38494D3D"/>
    <w:rsid w:val="3905764D"/>
    <w:rsid w:val="3DC6123A"/>
    <w:rsid w:val="3E735FF2"/>
    <w:rsid w:val="3EF71C66"/>
    <w:rsid w:val="3EFD5AAE"/>
    <w:rsid w:val="40D20726"/>
    <w:rsid w:val="40EC40D8"/>
    <w:rsid w:val="410C0680"/>
    <w:rsid w:val="416B53E3"/>
    <w:rsid w:val="45442544"/>
    <w:rsid w:val="45C31781"/>
    <w:rsid w:val="463F2E15"/>
    <w:rsid w:val="4A576EB2"/>
    <w:rsid w:val="4B313281"/>
    <w:rsid w:val="4C3F1223"/>
    <w:rsid w:val="4D735667"/>
    <w:rsid w:val="4E3062E7"/>
    <w:rsid w:val="5165502D"/>
    <w:rsid w:val="53984DDB"/>
    <w:rsid w:val="53A85C60"/>
    <w:rsid w:val="562D39E2"/>
    <w:rsid w:val="575A23E5"/>
    <w:rsid w:val="582A6644"/>
    <w:rsid w:val="59276DCE"/>
    <w:rsid w:val="5D337C3F"/>
    <w:rsid w:val="5EED2085"/>
    <w:rsid w:val="606A41D1"/>
    <w:rsid w:val="61E63F56"/>
    <w:rsid w:val="631D762B"/>
    <w:rsid w:val="64443FBE"/>
    <w:rsid w:val="67653DEE"/>
    <w:rsid w:val="69D43ABD"/>
    <w:rsid w:val="69FA1C05"/>
    <w:rsid w:val="6A8B7C67"/>
    <w:rsid w:val="6B3E30EE"/>
    <w:rsid w:val="6DD72CCA"/>
    <w:rsid w:val="6EF02D8B"/>
    <w:rsid w:val="6FD617F9"/>
    <w:rsid w:val="70C00EF7"/>
    <w:rsid w:val="7221674D"/>
    <w:rsid w:val="73CD07FE"/>
    <w:rsid w:val="78156C09"/>
    <w:rsid w:val="7AEF44E2"/>
    <w:rsid w:val="7BEE66B1"/>
    <w:rsid w:val="7FCF6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Calibri" w:hAnsi="Calibri" w:eastAsia="宋体" w:cs="Times New Roman"/>
      <w:sz w:val="20"/>
      <w:szCs w:val="20"/>
      <w:lang w:val="en-US" w:bidi="ar-SA"/>
    </w:rPr>
  </w:style>
  <w:style w:type="paragraph" w:styleId="3">
    <w:name w:val="Body Text"/>
    <w:basedOn w:val="1"/>
    <w:qFormat/>
    <w:uiPriority w:val="1"/>
    <w:pPr>
      <w:ind w:left="471"/>
    </w:pPr>
    <w:rPr>
      <w:rFonts w:ascii="仿宋" w:hAnsi="仿宋" w:eastAsia="仿宋" w:cs="仿宋"/>
      <w:sz w:val="32"/>
      <w:szCs w:val="32"/>
      <w:lang w:val="zh-CN" w:bidi="zh-CN"/>
    </w:rPr>
  </w:style>
  <w:style w:type="paragraph" w:styleId="4">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western"/>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A2F21-F524-482B-A672-92EF800C9B0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234</Words>
  <Characters>1340</Characters>
  <Lines>11</Lines>
  <Paragraphs>3</Paragraphs>
  <TotalTime>38</TotalTime>
  <ScaleCrop>false</ScaleCrop>
  <LinksUpToDate>false</LinksUpToDate>
  <CharactersWithSpaces>1571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2021-09-04T02:04:00Z</dcterms:created>
  <dc:creator>林琴</dc:creator>
  <cp:lastModifiedBy>林荟</cp:lastModifiedBy>
  <dcterms:modified xsi:type="dcterms:W3CDTF">2022-03-07T01:57:40Z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9F36B0C25EA6482BB03871D00E85C55F</vt:lpwstr>
  </property>
</Properties>
</file>