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outlineLvl w:val="0"/>
        <w:rPr>
          <w:rFonts w:hint="default" w:ascii="宋体" w:hAnsi="宋体" w:eastAsia="宋体" w:cs="宋体"/>
          <w:b/>
          <w:bCs/>
          <w:color w:val="auto"/>
          <w:szCs w:val="21"/>
          <w:highlight w:val="none"/>
          <w:lang w:val="en-US" w:eastAsia="zh-CN"/>
        </w:rPr>
      </w:pPr>
      <w:bookmarkStart w:id="0" w:name="_Toc3261"/>
      <w:bookmarkStart w:id="1" w:name="_Toc6176"/>
      <w:r>
        <w:rPr>
          <w:rFonts w:hint="eastAsia" w:ascii="宋体" w:hAnsi="宋体" w:eastAsia="宋体" w:cs="宋体"/>
          <w:color w:val="auto"/>
          <w:sz w:val="21"/>
          <w:szCs w:val="21"/>
          <w:highlight w:val="none"/>
        </w:rPr>
        <w:t>福州职业技术学院数据中台功能升级服务采购项目</w:t>
      </w:r>
      <w:r>
        <w:rPr>
          <w:rFonts w:hint="eastAsia" w:ascii="宋体" w:hAnsi="宋体" w:cs="宋体"/>
          <w:color w:val="auto"/>
          <w:sz w:val="21"/>
          <w:szCs w:val="21"/>
          <w:highlight w:val="none"/>
          <w:lang w:val="en-US" w:eastAsia="zh-CN"/>
        </w:rPr>
        <w:t>竞价公告（竞价编号：FJSXWJ2024019）</w:t>
      </w: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 xml:space="preserve">第一部分  </w:t>
      </w:r>
      <w:r>
        <w:rPr>
          <w:rFonts w:hint="eastAsia" w:ascii="宋体" w:hAnsi="宋体" w:eastAsia="宋体" w:cs="宋体"/>
          <w:b/>
          <w:bCs/>
          <w:color w:val="auto"/>
          <w:szCs w:val="21"/>
          <w:highlight w:val="none"/>
          <w:lang w:val="en-US" w:eastAsia="zh-CN"/>
        </w:rPr>
        <w:t>竞价须知</w:t>
      </w:r>
      <w:bookmarkEnd w:id="0"/>
      <w:bookmarkEnd w:id="1"/>
    </w:p>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b/>
          <w:bCs/>
          <w:color w:val="auto"/>
          <w:szCs w:val="21"/>
          <w:highlight w:val="none"/>
        </w:rPr>
      </w:pPr>
      <w:bookmarkStart w:id="2" w:name="_Toc385840942"/>
    </w:p>
    <w:p>
      <w:pPr>
        <w:keepNext w:val="0"/>
        <w:keepLines w:val="0"/>
        <w:pageBreakBefore w:val="0"/>
        <w:widowControl/>
        <w:kinsoku/>
        <w:overflowPunct/>
        <w:topLinePunct w:val="0"/>
        <w:autoSpaceDE/>
        <w:autoSpaceDN/>
        <w:bidi w:val="0"/>
        <w:adjustRightInd/>
        <w:spacing w:line="360" w:lineRule="auto"/>
        <w:jc w:val="center"/>
        <w:textAlignment w:val="auto"/>
        <w:outlineLvl w:val="9"/>
        <w:rPr>
          <w:rFonts w:hint="eastAsia" w:ascii="宋体" w:hAnsi="宋体" w:eastAsia="宋体" w:cs="宋体"/>
          <w:b/>
          <w:bCs/>
          <w:color w:val="auto"/>
          <w:sz w:val="21"/>
          <w:szCs w:val="21"/>
          <w:highlight w:val="none"/>
        </w:rPr>
      </w:pPr>
      <w:bookmarkStart w:id="3" w:name="_Toc23474"/>
      <w:r>
        <w:rPr>
          <w:rFonts w:hint="eastAsia" w:ascii="宋体" w:hAnsi="宋体" w:eastAsia="宋体" w:cs="宋体"/>
          <w:b/>
          <w:bCs/>
          <w:color w:val="auto"/>
          <w:sz w:val="21"/>
          <w:szCs w:val="21"/>
          <w:highlight w:val="none"/>
        </w:rPr>
        <w:t>一、网上竞价邀请函</w:t>
      </w:r>
      <w:bookmarkEnd w:id="2"/>
      <w:bookmarkEnd w:id="3"/>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受福州职业技术学院委托</w:t>
      </w:r>
      <w:r>
        <w:rPr>
          <w:rFonts w:hint="eastAsia" w:ascii="宋体" w:hAnsi="宋体" w:eastAsia="宋体" w:cs="宋体"/>
          <w:color w:val="auto"/>
          <w:kern w:val="0"/>
          <w:sz w:val="21"/>
          <w:szCs w:val="21"/>
          <w:highlight w:val="none"/>
        </w:rPr>
        <w:t>，福建盛鑫招标代理有限公司采用网上竞价采购方式组织实施本次项目的采购，现邀请合格的供应商参加网上竞价。</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竞价编号：FJSXW</w:t>
      </w:r>
      <w:r>
        <w:rPr>
          <w:rFonts w:hint="eastAsia" w:ascii="宋体" w:hAnsi="宋体" w:eastAsia="宋体" w:cs="宋体"/>
          <w:color w:val="auto"/>
          <w:sz w:val="21"/>
          <w:szCs w:val="21"/>
          <w:highlight w:val="none"/>
          <w:lang w:val="en-US" w:eastAsia="zh-CN"/>
        </w:rPr>
        <w:t>J</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4019</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项目名称：福州职业技术学院数据中台功能升级服务采购项目</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货物名称、交货期及主要技术规格详见竞价内容及要求“竞价</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一览表”</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4.报名起止时间：20</w:t>
      </w: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月</w:t>
      </w:r>
      <w:r>
        <w:rPr>
          <w:rFonts w:hint="eastAsia" w:ascii="宋体" w:hAnsi="宋体" w:eastAsia="宋体" w:cs="宋体"/>
          <w:b/>
          <w:bCs/>
          <w:color w:val="auto"/>
          <w:sz w:val="21"/>
          <w:szCs w:val="21"/>
          <w:highlight w:val="none"/>
          <w:lang w:val="en-US" w:eastAsia="zh-CN"/>
        </w:rPr>
        <w:t xml:space="preserve">30 </w:t>
      </w:r>
      <w:r>
        <w:rPr>
          <w:rFonts w:hint="eastAsia" w:ascii="宋体" w:hAnsi="宋体" w:eastAsia="宋体" w:cs="宋体"/>
          <w:b/>
          <w:bCs/>
          <w:color w:val="auto"/>
          <w:sz w:val="21"/>
          <w:szCs w:val="21"/>
          <w:highlight w:val="none"/>
        </w:rPr>
        <w:t>日9：00-202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月</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日17:</w:t>
      </w:r>
      <w:r>
        <w:rPr>
          <w:rFonts w:hint="eastAsia" w:ascii="宋体" w:hAnsi="宋体" w:eastAsia="宋体" w:cs="宋体"/>
          <w:b/>
          <w:bCs/>
          <w:color w:val="auto"/>
          <w:sz w:val="21"/>
          <w:szCs w:val="21"/>
          <w:highlight w:val="none"/>
          <w:lang w:val="en-US" w:eastAsia="zh-CN"/>
        </w:rPr>
        <w:t>00</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5.竞价起止时间：202</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月</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日</w:t>
      </w: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:00-1</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:00</w:t>
      </w:r>
      <w:r>
        <w:rPr>
          <w:rFonts w:hint="eastAsia" w:ascii="宋体" w:hAnsi="宋体" w:eastAsia="宋体" w:cs="宋体"/>
          <w:b/>
          <w:bCs/>
          <w:color w:val="auto"/>
          <w:sz w:val="21"/>
          <w:szCs w:val="21"/>
          <w:highlight w:val="none"/>
          <w:lang w:eastAsia="zh-CN"/>
        </w:rPr>
        <w:t>（北京时间）</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6．网上竞价招标文件售价为</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请</w:t>
      </w:r>
      <w:r>
        <w:rPr>
          <w:rFonts w:hint="eastAsia" w:ascii="宋体" w:hAnsi="宋体" w:eastAsia="宋体" w:cs="宋体"/>
          <w:color w:val="auto"/>
          <w:sz w:val="21"/>
          <w:szCs w:val="21"/>
          <w:highlight w:val="none"/>
        </w:rPr>
        <w:t>潜在供应商应在竞价公告规定的报名时间内进行报名，且公司名称应与竞价时的公司名称一致，本招标公司不接受未报名的潜在供应商竞价，且可以不予以书面通知竞价文件更改补充内容等（如果有的话）。下载竞价文件及上传报价文件网址：http://www.fjsxzb.com</w:t>
      </w:r>
      <w:r>
        <w:rPr>
          <w:rFonts w:hint="eastAsia" w:ascii="宋体" w:hAnsi="宋体" w:eastAsia="宋体" w:cs="宋体"/>
          <w:color w:val="auto"/>
          <w:sz w:val="21"/>
          <w:szCs w:val="21"/>
          <w:highlight w:val="none"/>
          <w:lang w:eastAsia="zh-CN"/>
        </w:rPr>
        <w:t>。</w:t>
      </w:r>
    </w:p>
    <w:p>
      <w:pPr>
        <w:keepNext w:val="0"/>
        <w:keepLines w:val="0"/>
        <w:pageBreakBefore w:val="0"/>
        <w:kinsoku/>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有关本项目采购的相关信息（包括网上竞价文件若有修改）福建盛鑫招标代理有限公司都将在中国政府采购网(http://www.ccgp.gov.cn/)、福建盛鑫招标代理有限公司(http://www.fjsxzb.com)上公布，请潜在竞价人随时关注相关网站，以免错漏重要信息。</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采购单位：福州职业技术学院</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地址：福州市闽侯上街联榕路8号</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吴老师</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联系电话：18065142681</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招标代理机构：福建盛鑫招标代理有限公司</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址：福州市鼓楼区鼓东街道湖东路79号外运大厦七层</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邮  编：350003</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话：0591-</w:t>
      </w:r>
      <w:r>
        <w:rPr>
          <w:rFonts w:hint="eastAsia" w:ascii="宋体" w:hAnsi="宋体" w:eastAsia="宋体" w:cs="宋体"/>
          <w:color w:val="auto"/>
          <w:sz w:val="21"/>
          <w:szCs w:val="21"/>
          <w:highlight w:val="none"/>
          <w:lang w:val="en-US" w:eastAsia="zh-CN"/>
        </w:rPr>
        <w:t xml:space="preserve">83508520-8688 </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联系人：小潘</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lang w:val="en-US" w:eastAsia="zh-CN"/>
        </w:rPr>
        <w:t>1051874670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qq</w:t>
      </w:r>
      <w:r>
        <w:rPr>
          <w:rFonts w:hint="eastAsia" w:ascii="宋体" w:hAnsi="宋体" w:eastAsia="宋体" w:cs="宋体"/>
          <w:color w:val="auto"/>
          <w:sz w:val="21"/>
          <w:szCs w:val="21"/>
          <w:highlight w:val="none"/>
        </w:rPr>
        <w:t>.com</w:t>
      </w:r>
    </w:p>
    <w:p>
      <w:pPr>
        <w:keepNext w:val="0"/>
        <w:keepLines w:val="0"/>
        <w:pageBreakBefore w:val="0"/>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9、竞价</w:t>
      </w:r>
      <w:r>
        <w:rPr>
          <w:rFonts w:hint="eastAsia" w:ascii="宋体" w:hAnsi="宋体" w:eastAsia="宋体" w:cs="宋体"/>
          <w:b/>
          <w:bCs/>
          <w:color w:val="auto"/>
          <w:kern w:val="0"/>
          <w:sz w:val="21"/>
          <w:szCs w:val="21"/>
          <w:highlight w:val="none"/>
          <w:lang w:eastAsia="zh-CN"/>
        </w:rPr>
        <w:t>保证金、代理服务费汇款账号：</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开户名：福建盛鑫招标代理有限公司</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开户行：中信银行福州分行</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号：7341 0101 826 0022 7015</w:t>
      </w:r>
    </w:p>
    <w:p>
      <w:pPr>
        <w:keepNext w:val="0"/>
        <w:keepLines w:val="0"/>
        <w:pageBreakBefore w:val="0"/>
        <w:widowControl/>
        <w:numPr>
          <w:ilvl w:val="0"/>
          <w:numId w:val="0"/>
        </w:numPr>
        <w:kinsoku/>
        <w:wordWrap/>
        <w:overflowPunct/>
        <w:topLinePunct w:val="0"/>
        <w:autoSpaceDE/>
        <w:autoSpaceDN/>
        <w:bidi w:val="0"/>
        <w:adjustRightInd/>
        <w:snapToGrid/>
        <w:ind w:firstLine="422" w:firstLineChars="200"/>
        <w:jc w:val="both"/>
        <w:textAlignment w:val="auto"/>
        <w:outlineLvl w:val="9"/>
        <w:rPr>
          <w:rFonts w:hint="eastAsia" w:ascii="宋体" w:hAnsi="宋体" w:eastAsia="宋体" w:cs="宋体"/>
          <w:b/>
          <w:bCs/>
          <w:color w:val="auto"/>
          <w:szCs w:val="21"/>
          <w:highlight w:val="none"/>
        </w:rPr>
      </w:pPr>
      <w:bookmarkStart w:id="4" w:name="_Toc28461"/>
      <w:bookmarkStart w:id="5" w:name="_Toc385840943"/>
      <w:r>
        <w:rPr>
          <w:rFonts w:hint="eastAsia" w:ascii="宋体" w:hAnsi="宋体" w:eastAsia="宋体" w:cs="宋体"/>
          <w:b/>
          <w:bCs/>
          <w:color w:val="auto"/>
          <w:szCs w:val="21"/>
          <w:highlight w:val="none"/>
          <w:lang w:eastAsia="zh-CN"/>
        </w:rPr>
        <w:t>二、</w:t>
      </w:r>
      <w:r>
        <w:rPr>
          <w:rFonts w:hint="eastAsia" w:ascii="宋体" w:hAnsi="宋体" w:eastAsia="宋体" w:cs="宋体"/>
          <w:b/>
          <w:bCs/>
          <w:color w:val="auto"/>
          <w:szCs w:val="21"/>
          <w:highlight w:val="none"/>
        </w:rPr>
        <w:t>竞价</w:t>
      </w:r>
      <w:r>
        <w:rPr>
          <w:rFonts w:hint="eastAsia" w:ascii="宋体" w:hAnsi="宋体" w:eastAsia="宋体" w:cs="宋体"/>
          <w:b/>
          <w:bCs/>
          <w:color w:val="auto"/>
          <w:szCs w:val="21"/>
          <w:highlight w:val="none"/>
          <w:lang w:eastAsia="zh-CN"/>
        </w:rPr>
        <w:t>采购</w:t>
      </w:r>
      <w:r>
        <w:rPr>
          <w:rFonts w:hint="eastAsia" w:ascii="宋体" w:hAnsi="宋体" w:eastAsia="宋体" w:cs="宋体"/>
          <w:b/>
          <w:bCs/>
          <w:color w:val="auto"/>
          <w:szCs w:val="21"/>
          <w:highlight w:val="none"/>
        </w:rPr>
        <w:t>一览表</w:t>
      </w:r>
      <w:bookmarkEnd w:id="4"/>
      <w:bookmarkEnd w:id="5"/>
    </w:p>
    <w:tbl>
      <w:tblPr>
        <w:tblStyle w:val="6"/>
        <w:tblW w:w="968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651"/>
        <w:gridCol w:w="1872"/>
        <w:gridCol w:w="2700"/>
        <w:gridCol w:w="1212"/>
        <w:gridCol w:w="1080"/>
        <w:gridCol w:w="13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highlight w:val="none"/>
              </w:rPr>
            </w:pPr>
            <w:bookmarkStart w:id="6" w:name="_Toc140042883"/>
            <w:bookmarkStart w:id="7" w:name="_Toc385840944"/>
            <w:bookmarkStart w:id="8" w:name="_Toc140400460"/>
            <w:r>
              <w:rPr>
                <w:rFonts w:hint="eastAsia" w:ascii="宋体" w:hAnsi="宋体" w:eastAsia="宋体" w:cs="宋体"/>
                <w:color w:val="auto"/>
                <w:kern w:val="0"/>
                <w:sz w:val="21"/>
                <w:szCs w:val="21"/>
                <w:highlight w:val="none"/>
              </w:rPr>
              <w:t>合同包</w:t>
            </w:r>
          </w:p>
        </w:tc>
        <w:tc>
          <w:tcPr>
            <w:tcW w:w="65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品目号</w:t>
            </w:r>
          </w:p>
        </w:tc>
        <w:tc>
          <w:tcPr>
            <w:tcW w:w="187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名称</w:t>
            </w:r>
          </w:p>
        </w:tc>
        <w:tc>
          <w:tcPr>
            <w:tcW w:w="270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服务内容</w:t>
            </w:r>
          </w:p>
        </w:tc>
        <w:tc>
          <w:tcPr>
            <w:tcW w:w="121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单价（元）</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总价</w:t>
            </w:r>
            <w:r>
              <w:rPr>
                <w:rFonts w:hint="eastAsia" w:ascii="宋体" w:hAnsi="宋体" w:eastAsia="宋体" w:cs="宋体"/>
                <w:color w:val="auto"/>
                <w:kern w:val="0"/>
                <w:sz w:val="21"/>
                <w:szCs w:val="21"/>
                <w:highlight w:val="none"/>
              </w:rPr>
              <w:t>（元）</w:t>
            </w:r>
          </w:p>
        </w:tc>
        <w:tc>
          <w:tcPr>
            <w:tcW w:w="133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竞价</w:t>
            </w:r>
            <w:r>
              <w:rPr>
                <w:rFonts w:hint="eastAsia" w:ascii="宋体" w:hAnsi="宋体" w:eastAsia="宋体" w:cs="宋体"/>
                <w:color w:val="auto"/>
                <w:kern w:val="0"/>
                <w:sz w:val="21"/>
                <w:szCs w:val="21"/>
                <w:highlight w:val="none"/>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65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87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Cs/>
                <w:color w:val="auto"/>
                <w:sz w:val="21"/>
                <w:szCs w:val="21"/>
                <w:highlight w:val="none"/>
              </w:rPr>
              <w:t>福州职业技术学院</w:t>
            </w:r>
            <w:r>
              <w:rPr>
                <w:rFonts w:hint="eastAsia" w:ascii="宋体" w:hAnsi="宋体" w:eastAsia="宋体" w:cs="宋体"/>
                <w:bCs/>
                <w:color w:val="auto"/>
                <w:sz w:val="21"/>
                <w:szCs w:val="21"/>
                <w:highlight w:val="none"/>
                <w:lang w:val="en-US" w:eastAsia="zh-CN"/>
              </w:rPr>
              <w:t>数据中台功能升级服务项目</w:t>
            </w:r>
          </w:p>
        </w:tc>
        <w:tc>
          <w:tcPr>
            <w:tcW w:w="270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240" w:lineRule="auto"/>
              <w:jc w:val="left"/>
              <w:rPr>
                <w:rFonts w:hint="eastAsia" w:ascii="宋体" w:hAnsi="宋体" w:eastAsia="宋体" w:cs="宋体"/>
                <w:color w:val="auto"/>
                <w:kern w:val="0"/>
                <w:sz w:val="21"/>
                <w:szCs w:val="18"/>
                <w:highlight w:val="none"/>
                <w:lang w:val="en-US" w:eastAsia="zh-CN" w:bidi="ar-SA"/>
              </w:rPr>
            </w:pPr>
            <w:r>
              <w:rPr>
                <w:rFonts w:hint="eastAsia" w:ascii="宋体" w:hAnsi="宋体" w:eastAsia="宋体" w:cs="宋体"/>
                <w:color w:val="auto"/>
                <w:kern w:val="0"/>
                <w:sz w:val="21"/>
                <w:szCs w:val="18"/>
                <w:highlight w:val="none"/>
                <w:lang w:val="en-US" w:eastAsia="zh-CN" w:bidi="ar-SA"/>
              </w:rPr>
              <w:t>为保障福州职业技术学院与职业院校数字基座数据对接工作，更好地使用和管理上报数据。</w:t>
            </w:r>
          </w:p>
          <w:p>
            <w:pPr>
              <w:keepNext w:val="0"/>
              <w:keepLines w:val="0"/>
              <w:pageBreakBefore w:val="0"/>
              <w:kinsoku/>
              <w:wordWrap/>
              <w:overflowPunct/>
              <w:topLinePunct w:val="0"/>
              <w:autoSpaceDE/>
              <w:autoSpaceDN/>
              <w:bidi w:val="0"/>
              <w:spacing w:line="24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1.数据中台数据查看终端模块升级服务一项；</w:t>
            </w:r>
          </w:p>
          <w:p>
            <w:pPr>
              <w:keepNext w:val="0"/>
              <w:keepLines w:val="0"/>
              <w:pageBreakBefore w:val="0"/>
              <w:kinsoku/>
              <w:wordWrap/>
              <w:overflowPunct/>
              <w:topLinePunct w:val="0"/>
              <w:autoSpaceDE/>
              <w:autoSpaceDN/>
              <w:bidi w:val="0"/>
              <w:spacing w:line="24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2.数据中台文件管理模块升级服务一项；</w:t>
            </w:r>
          </w:p>
          <w:p>
            <w:pPr>
              <w:keepNext w:val="0"/>
              <w:keepLines w:val="0"/>
              <w:pageBreakBefore w:val="0"/>
              <w:kinsoku/>
              <w:wordWrap/>
              <w:overflowPunct/>
              <w:topLinePunct w:val="0"/>
              <w:autoSpaceDE/>
              <w:autoSpaceDN/>
              <w:bidi w:val="0"/>
              <w:spacing w:line="24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3.数据中台数据结构检测模块升级服务一项。</w:t>
            </w:r>
          </w:p>
        </w:tc>
        <w:tc>
          <w:tcPr>
            <w:tcW w:w="121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50000</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50000</w:t>
            </w:r>
          </w:p>
        </w:tc>
        <w:tc>
          <w:tcPr>
            <w:tcW w:w="1333"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9686"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合同包预算</w:t>
            </w:r>
            <w:r>
              <w:rPr>
                <w:rFonts w:hint="eastAsia" w:ascii="宋体" w:hAnsi="宋体" w:eastAsia="宋体" w:cs="宋体"/>
                <w:color w:val="auto"/>
                <w:kern w:val="0"/>
                <w:sz w:val="21"/>
                <w:szCs w:val="21"/>
                <w:highlight w:val="none"/>
                <w:lang w:eastAsia="zh-CN"/>
              </w:rPr>
              <w:t>总价：人民币</w:t>
            </w:r>
            <w:r>
              <w:rPr>
                <w:rFonts w:hint="eastAsia" w:ascii="宋体" w:hAnsi="宋体" w:eastAsia="宋体" w:cs="宋体"/>
                <w:color w:val="auto"/>
                <w:kern w:val="0"/>
                <w:sz w:val="21"/>
                <w:szCs w:val="21"/>
                <w:highlight w:val="none"/>
                <w:lang w:val="en-US" w:eastAsia="zh-CN"/>
              </w:rPr>
              <w:t>伍万元</w:t>
            </w:r>
            <w:r>
              <w:rPr>
                <w:rFonts w:hint="eastAsia" w:ascii="宋体" w:hAnsi="宋体" w:eastAsia="宋体" w:cs="宋体"/>
                <w:color w:val="auto"/>
                <w:kern w:val="0"/>
                <w:sz w:val="21"/>
                <w:szCs w:val="21"/>
                <w:highlight w:val="none"/>
                <w:lang w:eastAsia="zh-CN"/>
              </w:rPr>
              <w:t>整（￥</w:t>
            </w:r>
            <w:r>
              <w:rPr>
                <w:rFonts w:hint="eastAsia" w:ascii="宋体" w:hAnsi="宋体" w:eastAsia="宋体" w:cs="宋体"/>
                <w:color w:val="auto"/>
                <w:kern w:val="0"/>
                <w:sz w:val="21"/>
                <w:szCs w:val="21"/>
                <w:highlight w:val="none"/>
                <w:lang w:val="en-US" w:eastAsia="zh-CN"/>
              </w:rPr>
              <w:t>50000</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9686" w:type="dxa"/>
            <w:gridSpan w:val="7"/>
            <w:tcBorders>
              <w:top w:val="outset" w:color="auto" w:sz="6" w:space="0"/>
              <w:left w:val="outset" w:color="auto" w:sz="6" w:space="0"/>
              <w:bottom w:val="outset" w:color="auto" w:sz="6" w:space="0"/>
              <w:right w:val="outset" w:color="auto" w:sz="6" w:space="0"/>
            </w:tcBorders>
            <w:noWrap w:val="0"/>
            <w:vAlign w:val="center"/>
          </w:tcPr>
          <w:p>
            <w:pPr>
              <w:pStyle w:val="5"/>
              <w:numPr>
                <w:ilvl w:val="0"/>
                <w:numId w:val="0"/>
              </w:numPr>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sz w:val="21"/>
                <w:szCs w:val="24"/>
                <w:highlight w:val="none"/>
                <w:lang w:val="en-US" w:eastAsia="zh-CN"/>
              </w:rPr>
              <w:t>备注：</w:t>
            </w:r>
          </w:p>
          <w:p>
            <w:pPr>
              <w:pStyle w:val="5"/>
              <w:numPr>
                <w:ilvl w:val="0"/>
                <w:numId w:val="0"/>
              </w:numPr>
              <w:ind w:left="0" w:leftChars="0" w:firstLine="0" w:firstLineChars="0"/>
              <w:rPr>
                <w:rFonts w:hint="default" w:ascii="宋体" w:hAnsi="宋体" w:eastAsia="宋体" w:cs="宋体"/>
                <w:b/>
                <w:bCs/>
                <w:color w:val="auto"/>
                <w:sz w:val="21"/>
                <w:szCs w:val="24"/>
                <w:highlight w:val="none"/>
                <w:lang w:val="en-US" w:eastAsia="zh-CN"/>
              </w:rPr>
            </w:pPr>
            <w:r>
              <w:rPr>
                <w:rFonts w:hint="eastAsia" w:ascii="宋体" w:hAnsi="宋体" w:eastAsia="宋体" w:cs="宋体"/>
                <w:b w:val="0"/>
                <w:bCs w:val="0"/>
                <w:color w:val="auto"/>
                <w:sz w:val="21"/>
                <w:szCs w:val="24"/>
                <w:highlight w:val="none"/>
                <w:lang w:val="en-US" w:eastAsia="zh-CN"/>
              </w:rPr>
              <w:t>本项目所涉及的所有费用应包含税费、货物生产、制造、包装、运输、人工、税收、安装调试费及安装所需的辅料、验收、保修、退换货等履行本项目所支付的所有费用。</w:t>
            </w:r>
          </w:p>
        </w:tc>
      </w:tr>
      <w:bookmarkEnd w:id="6"/>
      <w:bookmarkEnd w:id="7"/>
      <w:bookmarkEnd w:id="8"/>
    </w:tbl>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eastAsia="zh-CN"/>
        </w:rPr>
        <w:t>三</w:t>
      </w:r>
      <w:r>
        <w:rPr>
          <w:rFonts w:hint="eastAsia" w:ascii="宋体" w:hAnsi="宋体" w:eastAsia="宋体" w:cs="宋体"/>
          <w:b/>
          <w:bCs w:val="0"/>
          <w:color w:val="auto"/>
          <w:kern w:val="0"/>
          <w:sz w:val="21"/>
          <w:szCs w:val="21"/>
          <w:highlight w:val="none"/>
        </w:rPr>
        <w:t>、合格的竞价供应商</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 xml:space="preserve">1、有能力提供本竞价文件所述货物及服务的法人、其他组织或者自然人均可能成为合格的竞价人，并提供有效的营业执照复印件或其他相应的证明文件。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2、竞价承诺书。</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3、报价人的资格声明。</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4、法定代表人授权书（若有）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5、须提供参加本项目招标活动前3年内在经营活动中没有重大违法记录和无行贿犯罪的书面声明。</w:t>
      </w:r>
    </w:p>
    <w:p>
      <w:pPr>
        <w:pStyle w:val="4"/>
        <w:keepNext w:val="0"/>
        <w:keepLines w:val="0"/>
        <w:pageBreakBefore w:val="0"/>
        <w:kinsoku/>
        <w:overflowPunct/>
        <w:topLinePunct w:val="0"/>
        <w:autoSpaceDE/>
        <w:autoSpaceDN/>
        <w:bidi w:val="0"/>
        <w:adjustRightInd/>
        <w:spacing w:before="0" w:beforeAutospacing="0" w:after="0" w:afterAutospacing="0" w:line="24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、报价人须提供参加本项目招标活动前3年内在经营活动中无不良信用记录的书面声明，并同时提供通过</w:t>
      </w:r>
      <w:r>
        <w:rPr>
          <w:rFonts w:hint="eastAsia" w:ascii="宋体" w:hAnsi="宋体" w:eastAsia="宋体" w:cs="宋体"/>
          <w:b/>
          <w:color w:val="auto"/>
          <w:sz w:val="21"/>
          <w:szCs w:val="21"/>
          <w:highlight w:val="none"/>
        </w:rPr>
        <w:t>“信用中国”网站（www.creditchina.gov.cn）、中国政府采购网（www.ccgp.gov.cn）信用信息查询无不良信用记录的打印件（或截图）</w:t>
      </w:r>
      <w:r>
        <w:rPr>
          <w:rFonts w:hint="eastAsia" w:ascii="宋体" w:hAnsi="宋体" w:eastAsia="宋体" w:cs="宋体"/>
          <w:color w:val="auto"/>
          <w:sz w:val="21"/>
          <w:szCs w:val="21"/>
          <w:highlight w:val="none"/>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GB"/>
        </w:rPr>
        <w:t xml:space="preserve">    </w:t>
      </w:r>
      <w:r>
        <w:rPr>
          <w:rFonts w:hint="eastAsia" w:ascii="宋体" w:hAnsi="宋体" w:eastAsia="宋体" w:cs="宋体"/>
          <w:color w:val="auto"/>
          <w:sz w:val="21"/>
          <w:szCs w:val="21"/>
          <w:highlight w:val="none"/>
        </w:rPr>
        <w:t>备注：不良信用记录是指列入失信被执行人、重大税收违法案件当事人名单和政府采购严重违法失信行为记录名单等。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、竞价保证金凭证复印件。</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本项目拒绝列入政府不良行为记录期间的企业或个人参与报价。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9、本项目特定资格：无</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
          <w:bCs/>
          <w:color w:val="auto"/>
          <w:kern w:val="0"/>
          <w:sz w:val="21"/>
          <w:szCs w:val="21"/>
          <w:highlight w:val="none"/>
          <w:lang w:val="en-US" w:eastAsia="zh-CN"/>
        </w:rPr>
        <w:t>四、报名及递交材料须知</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竞价人须先登录福建盛鑫招标代理有限公司官网(http://www.fjsxzb .com)首页进行供应商注册，如实完整填写竞价人资料并</w:t>
      </w:r>
      <w:r>
        <w:rPr>
          <w:rFonts w:hint="eastAsia" w:ascii="宋体" w:hAnsi="宋体" w:eastAsia="宋体" w:cs="宋体"/>
          <w:bCs/>
          <w:color w:val="auto"/>
          <w:kern w:val="0"/>
          <w:sz w:val="21"/>
          <w:szCs w:val="21"/>
          <w:highlight w:val="none"/>
        </w:rPr>
        <w:t>在网上竞价截止时间前一个工作日须提交 “合格的竞价人”要求的所有相关材料并加盖</w:t>
      </w:r>
      <w:r>
        <w:rPr>
          <w:rFonts w:hint="eastAsia" w:ascii="宋体" w:hAnsi="宋体" w:eastAsia="宋体" w:cs="宋体"/>
          <w:bCs/>
          <w:color w:val="auto"/>
          <w:kern w:val="0"/>
          <w:sz w:val="21"/>
          <w:szCs w:val="21"/>
          <w:highlight w:val="none"/>
          <w:lang w:eastAsia="zh-CN"/>
        </w:rPr>
        <w:t>公章</w:t>
      </w:r>
      <w:r>
        <w:rPr>
          <w:rFonts w:hint="eastAsia" w:ascii="宋体" w:hAnsi="宋体" w:eastAsia="宋体" w:cs="宋体"/>
          <w:bCs/>
          <w:color w:val="auto"/>
          <w:kern w:val="0"/>
          <w:sz w:val="21"/>
          <w:szCs w:val="21"/>
          <w:highlight w:val="none"/>
        </w:rPr>
        <w:t>，并同时提供竞价保证金凭证复印件加盖公章</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color w:val="auto"/>
          <w:kern w:val="0"/>
          <w:sz w:val="21"/>
          <w:szCs w:val="21"/>
          <w:highlight w:val="none"/>
          <w:lang w:eastAsia="zh-CN"/>
        </w:rPr>
        <w:t>报名文件请发送</w:t>
      </w:r>
      <w:r>
        <w:rPr>
          <w:rFonts w:hint="eastAsia" w:ascii="宋体" w:hAnsi="宋体" w:eastAsia="宋体" w:cs="宋体"/>
          <w:color w:val="auto"/>
          <w:kern w:val="0"/>
          <w:sz w:val="21"/>
          <w:szCs w:val="21"/>
          <w:highlight w:val="none"/>
          <w:lang w:val="en-US" w:eastAsia="zh-CN"/>
        </w:rPr>
        <w:t>1051874670@qq.com邮箱）</w:t>
      </w:r>
      <w:r>
        <w:rPr>
          <w:rFonts w:hint="eastAsia" w:ascii="宋体" w:hAnsi="宋体" w:eastAsia="宋体" w:cs="宋体"/>
          <w:bCs/>
          <w:color w:val="auto"/>
          <w:kern w:val="0"/>
          <w:sz w:val="21"/>
          <w:szCs w:val="21"/>
          <w:highlight w:val="none"/>
        </w:rPr>
        <w:t>。未按以上要求提交报名材料的竞价人，将导致其竞价资格被拒绝。</w:t>
      </w:r>
      <w:r>
        <w:rPr>
          <w:rFonts w:hint="eastAsia" w:ascii="宋体" w:hAnsi="宋体" w:eastAsia="宋体" w:cs="宋体"/>
          <w:b/>
          <w:bCs/>
          <w:color w:val="auto"/>
          <w:kern w:val="0"/>
          <w:sz w:val="21"/>
          <w:szCs w:val="21"/>
          <w:highlight w:val="none"/>
        </w:rPr>
        <w:t>（注册完成后须致电：潘华明</w:t>
      </w:r>
      <w:r>
        <w:rPr>
          <w:rFonts w:hint="eastAsia" w:ascii="宋体" w:hAnsi="宋体" w:eastAsia="宋体" w:cs="宋体"/>
          <w:b/>
          <w:bCs/>
          <w:color w:val="auto"/>
          <w:kern w:val="0"/>
          <w:sz w:val="21"/>
          <w:szCs w:val="21"/>
          <w:highlight w:val="none"/>
          <w:lang w:val="en-US" w:eastAsia="zh-CN"/>
        </w:rPr>
        <w:t>13950286270,</w:t>
      </w:r>
      <w:r>
        <w:rPr>
          <w:rFonts w:hint="eastAsia" w:ascii="宋体" w:hAnsi="宋体" w:eastAsia="宋体" w:cs="宋体"/>
          <w:b/>
          <w:bCs/>
          <w:color w:val="auto"/>
          <w:kern w:val="0"/>
          <w:sz w:val="21"/>
          <w:szCs w:val="21"/>
          <w:highlight w:val="none"/>
        </w:rPr>
        <w:t>591-83508520-8688进行审核并开放</w:t>
      </w:r>
      <w:r>
        <w:rPr>
          <w:rFonts w:hint="eastAsia" w:ascii="宋体" w:hAnsi="宋体" w:eastAsia="宋体" w:cs="宋体"/>
          <w:b/>
          <w:bCs/>
          <w:color w:val="auto"/>
          <w:kern w:val="0"/>
          <w:sz w:val="21"/>
          <w:szCs w:val="21"/>
          <w:highlight w:val="none"/>
          <w:lang w:eastAsia="zh-CN"/>
        </w:rPr>
        <w:t>该项目竞价</w:t>
      </w:r>
      <w:r>
        <w:rPr>
          <w:rFonts w:hint="eastAsia" w:ascii="宋体" w:hAnsi="宋体" w:eastAsia="宋体" w:cs="宋体"/>
          <w:b/>
          <w:bCs/>
          <w:color w:val="auto"/>
          <w:kern w:val="0"/>
          <w:sz w:val="21"/>
          <w:szCs w:val="21"/>
          <w:highlight w:val="none"/>
        </w:rPr>
        <w:t>权限方可登录）。</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报价须知</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1、本次采购的服务为</w:t>
      </w:r>
      <w:r>
        <w:rPr>
          <w:rFonts w:hint="eastAsia" w:ascii="宋体" w:hAnsi="宋体" w:eastAsia="宋体" w:cs="宋体"/>
          <w:b/>
          <w:bCs/>
          <w:color w:val="auto"/>
          <w:sz w:val="21"/>
          <w:szCs w:val="21"/>
          <w:highlight w:val="none"/>
          <w:lang w:val="en-US" w:eastAsia="zh-CN"/>
        </w:rPr>
        <w:t>国内</w:t>
      </w:r>
      <w:r>
        <w:rPr>
          <w:rFonts w:hint="eastAsia" w:ascii="宋体" w:hAnsi="宋体" w:eastAsia="宋体" w:cs="宋体"/>
          <w:b/>
          <w:bCs/>
          <w:color w:val="auto"/>
          <w:sz w:val="21"/>
          <w:szCs w:val="21"/>
          <w:highlight w:val="none"/>
        </w:rPr>
        <w:t>供</w:t>
      </w:r>
      <w:r>
        <w:rPr>
          <w:rFonts w:hint="eastAsia" w:ascii="宋体" w:hAnsi="宋体" w:eastAsia="宋体" w:cs="宋体"/>
          <w:b/>
          <w:bCs/>
          <w:color w:val="auto"/>
          <w:sz w:val="21"/>
          <w:szCs w:val="21"/>
          <w:highlight w:val="none"/>
          <w:lang w:val="en-US" w:eastAsia="zh-Hans"/>
        </w:rPr>
        <w:t>应</w:t>
      </w:r>
      <w:r>
        <w:rPr>
          <w:rFonts w:hint="eastAsia" w:ascii="宋体" w:hAnsi="宋体" w:eastAsia="宋体" w:cs="宋体"/>
          <w:b/>
          <w:bCs/>
          <w:color w:val="auto"/>
          <w:sz w:val="21"/>
          <w:szCs w:val="21"/>
          <w:highlight w:val="none"/>
        </w:rPr>
        <w:t>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2、单位负责人为同一人或者存在直接控股、管理关系的不同</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，不得参加同一合同项下的采购活动。</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color w:val="auto"/>
          <w:sz w:val="21"/>
          <w:szCs w:val="21"/>
          <w:highlight w:val="none"/>
          <w:shd w:val="pct10" w:color="auto" w:fill="FFFFFF"/>
        </w:rPr>
      </w:pPr>
      <w:r>
        <w:rPr>
          <w:rFonts w:hint="eastAsia" w:ascii="宋体" w:hAnsi="宋体" w:eastAsia="宋体" w:cs="宋体"/>
          <w:b/>
          <w:color w:val="auto"/>
          <w:sz w:val="21"/>
          <w:szCs w:val="21"/>
          <w:highlight w:val="none"/>
          <w:shd w:val="pct10" w:color="auto" w:fill="FFFFFF"/>
        </w:rPr>
        <w:t>报价人有责任对以上情形做出声明，否则报价将被拒绝。</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kern w:val="0"/>
          <w:sz w:val="21"/>
          <w:szCs w:val="21"/>
          <w:highlight w:val="none"/>
        </w:rPr>
        <w:t>报价人根据竞价文件要求自行编制和上传有效的报价文件（应与纸质报价文件一致），应包含竞价文件要求的所有材料（不限于竞价文件提供的格式）。</w:t>
      </w:r>
      <w:r>
        <w:rPr>
          <w:rFonts w:hint="eastAsia" w:ascii="宋体" w:hAnsi="宋体" w:eastAsia="宋体" w:cs="宋体"/>
          <w:b/>
          <w:bCs/>
          <w:color w:val="auto"/>
          <w:kern w:val="0"/>
          <w:sz w:val="21"/>
          <w:szCs w:val="21"/>
          <w:highlight w:val="none"/>
          <w:lang w:eastAsia="zh-CN"/>
        </w:rPr>
        <w:t>成交供应商在结果公示后应提交两份纸质报价文件领取成交通知书。</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在网上竞价截止时间前电子报价文件应按上述要求上传相关材料，未按此要求的，将被视为无效报价文件。电子报价文档具法律效力。</w:t>
      </w:r>
    </w:p>
    <w:p>
      <w:pPr>
        <w:widowControl/>
        <w:ind w:firstLine="422" w:firstLineChars="200"/>
        <w:jc w:val="left"/>
        <w:rPr>
          <w:rFonts w:hint="eastAsia" w:ascii="宋体" w:hAnsi="宋体" w:eastAsia="宋体" w:cs="宋体"/>
          <w:color w:val="auto"/>
          <w:sz w:val="21"/>
          <w:szCs w:val="24"/>
          <w:highlight w:val="none"/>
        </w:rPr>
      </w:pPr>
      <w:r>
        <w:rPr>
          <w:rFonts w:hint="eastAsia" w:ascii="宋体" w:hAnsi="宋体" w:eastAsia="宋体" w:cs="宋体"/>
          <w:b/>
          <w:bCs/>
          <w:color w:val="auto"/>
          <w:kern w:val="0"/>
          <w:sz w:val="21"/>
          <w:szCs w:val="21"/>
          <w:highlight w:val="none"/>
        </w:rPr>
        <w:t>在网上竞价截止时间前上传电子报价文件内容</w:t>
      </w:r>
      <w:r>
        <w:rPr>
          <w:rFonts w:hint="eastAsia" w:ascii="宋体" w:hAnsi="宋体" w:eastAsia="宋体" w:cs="宋体"/>
          <w:color w:val="auto"/>
          <w:sz w:val="21"/>
          <w:szCs w:val="21"/>
          <w:highlight w:val="none"/>
        </w:rPr>
        <w:t>。</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eastAsia="zh-CN"/>
        </w:rPr>
        <w:t>六</w:t>
      </w:r>
      <w:r>
        <w:rPr>
          <w:rFonts w:hint="eastAsia" w:ascii="宋体" w:hAnsi="宋体" w:eastAsia="宋体" w:cs="宋体"/>
          <w:b/>
          <w:color w:val="auto"/>
          <w:kern w:val="0"/>
          <w:szCs w:val="21"/>
          <w:highlight w:val="none"/>
        </w:rPr>
        <w:t>、竞价准则</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1、采购代理机构将采购人提出的采购需求在中国政府采购网、</w:t>
      </w:r>
      <w:r>
        <w:rPr>
          <w:rFonts w:hint="eastAsia" w:ascii="宋体" w:hAnsi="宋体" w:eastAsia="宋体" w:cs="宋体"/>
          <w:color w:val="auto"/>
          <w:szCs w:val="21"/>
          <w:highlight w:val="none"/>
        </w:rPr>
        <w:t>福建盛鑫招标代理有限公司(http://www.fjsxzb .com)</w:t>
      </w:r>
      <w:r>
        <w:rPr>
          <w:rFonts w:hint="eastAsia" w:ascii="宋体" w:hAnsi="宋体" w:eastAsia="宋体" w:cs="宋体"/>
          <w:bCs/>
          <w:color w:val="auto"/>
          <w:kern w:val="0"/>
          <w:szCs w:val="21"/>
          <w:highlight w:val="none"/>
        </w:rPr>
        <w:t>进行发布。网上竞价的</w:t>
      </w:r>
      <w:r>
        <w:rPr>
          <w:rFonts w:hint="eastAsia" w:ascii="宋体" w:hAnsi="宋体" w:eastAsia="宋体" w:cs="宋体"/>
          <w:b/>
          <w:bCs w:val="0"/>
          <w:color w:val="auto"/>
          <w:kern w:val="0"/>
          <w:szCs w:val="21"/>
          <w:highlight w:val="none"/>
        </w:rPr>
        <w:t>报价时限为</w:t>
      </w:r>
      <w:r>
        <w:rPr>
          <w:rFonts w:hint="eastAsia" w:ascii="宋体" w:hAnsi="宋体" w:eastAsia="宋体" w:cs="宋体"/>
          <w:b/>
          <w:bCs w:val="0"/>
          <w:color w:val="auto"/>
          <w:kern w:val="0"/>
          <w:szCs w:val="21"/>
          <w:highlight w:val="none"/>
          <w:lang w:val="en-US" w:eastAsia="zh-CN"/>
        </w:rPr>
        <w:t>2024年11月4日9:00-11:00（北京时间）</w:t>
      </w:r>
      <w:r>
        <w:rPr>
          <w:rFonts w:hint="eastAsia" w:ascii="宋体" w:hAnsi="宋体" w:eastAsia="宋体" w:cs="宋体"/>
          <w:bCs/>
          <w:color w:val="auto"/>
          <w:kern w:val="0"/>
          <w:szCs w:val="21"/>
          <w:highlight w:val="none"/>
        </w:rPr>
        <w:t>，在报价时限截止前，潜在竞价人可通过</w:t>
      </w:r>
      <w:r>
        <w:rPr>
          <w:rFonts w:hint="eastAsia" w:ascii="宋体" w:hAnsi="宋体" w:eastAsia="宋体" w:cs="宋体"/>
          <w:color w:val="auto"/>
          <w:szCs w:val="21"/>
          <w:highlight w:val="none"/>
        </w:rPr>
        <w:t>福建盛鑫招标代理有限公司</w:t>
      </w:r>
      <w:r>
        <w:rPr>
          <w:rFonts w:hint="eastAsia" w:ascii="宋体" w:hAnsi="宋体" w:eastAsia="宋体" w:cs="宋体"/>
          <w:bCs/>
          <w:color w:val="auto"/>
          <w:kern w:val="0"/>
          <w:szCs w:val="21"/>
          <w:highlight w:val="none"/>
        </w:rPr>
        <w:t>官网网竞平台进行竞价</w:t>
      </w:r>
      <w:r>
        <w:rPr>
          <w:rFonts w:hint="eastAsia" w:ascii="宋体" w:hAnsi="宋体" w:eastAsia="宋体" w:cs="宋体"/>
          <w:bCs/>
          <w:color w:val="auto"/>
          <w:kern w:val="0"/>
          <w:szCs w:val="21"/>
          <w:highlight w:val="none"/>
          <w:lang w:eastAsia="zh-CN"/>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bCs w:val="0"/>
          <w:color w:val="auto"/>
          <w:kern w:val="0"/>
          <w:szCs w:val="21"/>
          <w:highlight w:val="none"/>
        </w:rPr>
      </w:pPr>
      <w:r>
        <w:rPr>
          <w:rFonts w:hint="eastAsia" w:ascii="宋体" w:hAnsi="宋体" w:eastAsia="宋体" w:cs="宋体"/>
          <w:bCs/>
          <w:color w:val="auto"/>
          <w:kern w:val="0"/>
          <w:szCs w:val="21"/>
          <w:highlight w:val="none"/>
          <w:lang w:val="en-US" w:eastAsia="zh-CN"/>
        </w:rPr>
        <w:t>2、</w:t>
      </w:r>
      <w:r>
        <w:rPr>
          <w:rFonts w:hint="eastAsia" w:ascii="宋体" w:hAnsi="宋体" w:eastAsia="宋体" w:cs="宋体"/>
          <w:b/>
          <w:bCs w:val="0"/>
          <w:color w:val="auto"/>
          <w:kern w:val="0"/>
          <w:szCs w:val="21"/>
          <w:highlight w:val="none"/>
        </w:rPr>
        <w:t>竞价人首次提交的报价总价必须低于公告最高限价的3%（不含）以上，报价单价不能超过竞价文件的单价最高限价，否则，视为无效报价；在符合采购需求且报价有效的前提下，报价最低者成交（报价相同的，以报价时间优先者成交）。</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kern w:val="0"/>
          <w:szCs w:val="21"/>
          <w:highlight w:val="none"/>
          <w:lang w:val="en-US" w:eastAsia="zh-CN"/>
        </w:rPr>
        <w:t>3</w:t>
      </w:r>
      <w:r>
        <w:rPr>
          <w:rFonts w:hint="eastAsia" w:ascii="宋体" w:hAnsi="宋体" w:eastAsia="宋体" w:cs="宋体"/>
          <w:b/>
          <w:bCs w:val="0"/>
          <w:color w:val="auto"/>
          <w:kern w:val="0"/>
          <w:szCs w:val="21"/>
          <w:highlight w:val="none"/>
        </w:rPr>
        <w:t>、竞价过程中，竞价人每次报价必须比自己上次的报价低。</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kern w:val="0"/>
          <w:szCs w:val="21"/>
          <w:highlight w:val="none"/>
          <w:lang w:val="en-US" w:eastAsia="zh-CN"/>
        </w:rPr>
        <w:t>4</w:t>
      </w:r>
      <w:r>
        <w:rPr>
          <w:rFonts w:hint="eastAsia" w:ascii="宋体" w:hAnsi="宋体" w:eastAsia="宋体" w:cs="宋体"/>
          <w:b/>
          <w:bCs w:val="0"/>
          <w:color w:val="auto"/>
          <w:kern w:val="0"/>
          <w:szCs w:val="21"/>
          <w:highlight w:val="none"/>
        </w:rPr>
        <w:t>、符合以上要求的报价，可以在规定的报价时限内不限次数报价，直到竞价截止时间为止。</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、最终有效报价确认办法</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（1）竞价结果在提交的报价文件全部满足竞价文件要求的前提下依据统一的价格要素评定最低报价,按价格最低者成交（报价相同者以时间先后顺序确定）确认。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（2）算术错误将按以下方法更正：</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①竞价人在竞价平台提交的最后一次报价与竞价人最后一次上传的报价文件中的报价一览表总价不一致的，以竞价人在竞价平台提交的最后一次报价为准；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②报价一览表中大写金额和小写金额不一致的，以大写金额为准；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③报价一览表中单价金额小数点或百分比有明显错位的，以报价一览表的总价为准，并修改单价；</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④报价一览表中总价金额与按照单价汇总金额不一致的，以单价金额计算结果为准。</w:t>
      </w:r>
    </w:p>
    <w:p>
      <w:pPr>
        <w:keepNext w:val="0"/>
        <w:keepLines w:val="0"/>
        <w:pageBreakBefore w:val="0"/>
        <w:widowControl/>
        <w:kinsoku/>
        <w:overflowPunct/>
        <w:topLinePunct w:val="0"/>
        <w:autoSpaceDE/>
        <w:autoSpaceDN/>
        <w:bidi w:val="0"/>
        <w:adjustRightInd/>
        <w:spacing w:line="360" w:lineRule="exact"/>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同时出现两种以上不一致的，按照前款规定的顺序修正。修正后的报价应按照以下规定经竞价人确认后产生约束力，竞价人不确认的，其报价无效：对计算错误的内容，以书面形式要求竞价人作出必要的澄清、说明或补正，澄清、说明或补正应由竞价人代表在规定的时间内（一般在半个小时左右，具体要求将根据实际情况在澄清通知中约定）以书面形式提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5、竞价人应遵守采购相关法规，若竞价人违反规定，将按有关规定处理。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6、各竞价人的报价须符合《中华人民共和国政府采购法》第二条“采购，是指以合同方式有偿取得货物、工程和服务的行为，包括购买、租赁、委托、雇用等”的相关规定。</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7、竞价人已详细审查全部竞价公告，包括修改竞价公告(如有的话)和有关附件，将自行承担因对全部竞价公告理解不正确或误解而产生的相应后果。</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8、竞价人同意提供按照采购代理机构可能要求的与其竞价有关的一切数据或资料，完全理解采购代理机构不一定要接受最低的竞价。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七、</w:t>
      </w:r>
      <w:r>
        <w:rPr>
          <w:rFonts w:hint="eastAsia" w:ascii="宋体" w:hAnsi="宋体" w:eastAsia="宋体" w:cs="宋体"/>
          <w:b/>
          <w:bCs/>
          <w:color w:val="auto"/>
          <w:sz w:val="21"/>
          <w:szCs w:val="21"/>
          <w:highlight w:val="none"/>
        </w:rPr>
        <w:t>竞价结果确认</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1、网上竞价公告期满，福建</w:t>
      </w:r>
      <w:r>
        <w:rPr>
          <w:rFonts w:hint="eastAsia" w:ascii="宋体" w:hAnsi="宋体" w:eastAsia="宋体" w:cs="宋体"/>
          <w:color w:val="auto"/>
          <w:sz w:val="21"/>
          <w:szCs w:val="21"/>
          <w:highlight w:val="none"/>
          <w:lang w:eastAsia="zh-CN"/>
        </w:rPr>
        <w:t>盛鑫</w:t>
      </w:r>
      <w:r>
        <w:rPr>
          <w:rFonts w:hint="eastAsia" w:ascii="宋体" w:hAnsi="宋体" w:eastAsia="宋体" w:cs="宋体"/>
          <w:color w:val="auto"/>
          <w:sz w:val="21"/>
          <w:szCs w:val="21"/>
          <w:highlight w:val="none"/>
        </w:rPr>
        <w:t>招标代理有限公司以书面方式通知采购人。同时将成交结果信息在中国政府采购网(http://www.ccgp.gov.cn/)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福建</w:t>
      </w:r>
      <w:r>
        <w:rPr>
          <w:rFonts w:hint="eastAsia" w:ascii="宋体" w:hAnsi="宋体" w:eastAsia="宋体" w:cs="宋体"/>
          <w:color w:val="auto"/>
          <w:sz w:val="21"/>
          <w:szCs w:val="21"/>
          <w:highlight w:val="none"/>
          <w:lang w:eastAsia="zh-CN"/>
        </w:rPr>
        <w:t>盛鑫</w:t>
      </w:r>
      <w:r>
        <w:rPr>
          <w:rFonts w:hint="eastAsia" w:ascii="宋体" w:hAnsi="宋体" w:eastAsia="宋体" w:cs="宋体"/>
          <w:color w:val="auto"/>
          <w:sz w:val="21"/>
          <w:szCs w:val="21"/>
          <w:highlight w:val="none"/>
        </w:rPr>
        <w:t>招标代理有限公司竞价平台（http://www.fj</w:t>
      </w:r>
      <w:r>
        <w:rPr>
          <w:rFonts w:hint="eastAsia" w:ascii="宋体" w:hAnsi="宋体" w:eastAsia="宋体" w:cs="宋体"/>
          <w:color w:val="auto"/>
          <w:sz w:val="21"/>
          <w:szCs w:val="21"/>
          <w:highlight w:val="none"/>
          <w:lang w:val="en-US" w:eastAsia="zh-CN"/>
        </w:rPr>
        <w:t>s</w:t>
      </w:r>
      <w:r>
        <w:rPr>
          <w:rFonts w:hint="eastAsia" w:ascii="宋体" w:hAnsi="宋体" w:eastAsia="宋体" w:cs="宋体"/>
          <w:color w:val="auto"/>
          <w:sz w:val="21"/>
          <w:szCs w:val="21"/>
          <w:highlight w:val="none"/>
        </w:rPr>
        <w:t>xzb.com）上公告，公告期限为本公告之日起1个工作日。</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2、网上竞价公告期满，若无</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家（含）</w:t>
      </w:r>
      <w:r>
        <w:rPr>
          <w:rFonts w:hint="eastAsia" w:ascii="宋体" w:hAnsi="宋体" w:eastAsia="宋体" w:cs="宋体"/>
          <w:b/>
          <w:bCs/>
          <w:color w:val="auto"/>
          <w:sz w:val="21"/>
          <w:szCs w:val="21"/>
          <w:highlight w:val="none"/>
        </w:rPr>
        <w:t>报价人参与报价，或参与竞价的报价人报价不符合上述规定的，网上竞价无效。</w:t>
      </w:r>
    </w:p>
    <w:p>
      <w:pPr>
        <w:pStyle w:val="4"/>
        <w:keepNext w:val="0"/>
        <w:keepLines w:val="0"/>
        <w:pageBreakBefore w:val="0"/>
        <w:kinsoku/>
        <w:overflowPunct/>
        <w:topLinePunct w:val="0"/>
        <w:autoSpaceDE/>
        <w:autoSpaceDN/>
        <w:bidi w:val="0"/>
        <w:adjustRightInd/>
        <w:spacing w:before="0" w:beforeAutospacing="0" w:after="0" w:afterAutospacing="0" w:line="24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3、采购单位在提出采购需求时</w:t>
      </w:r>
      <w:r>
        <w:rPr>
          <w:rFonts w:hint="eastAsia" w:ascii="宋体" w:hAnsi="宋体" w:eastAsia="宋体" w:cs="宋体"/>
          <w:b/>
          <w:bCs/>
          <w:color w:val="auto"/>
          <w:sz w:val="21"/>
          <w:szCs w:val="21"/>
          <w:highlight w:val="none"/>
          <w:lang w:eastAsia="zh-CN"/>
        </w:rPr>
        <w:t>若有</w:t>
      </w:r>
      <w:r>
        <w:rPr>
          <w:rFonts w:hint="eastAsia" w:ascii="宋体" w:hAnsi="宋体" w:eastAsia="宋体" w:cs="宋体"/>
          <w:b/>
          <w:bCs/>
          <w:color w:val="auto"/>
          <w:sz w:val="21"/>
          <w:szCs w:val="21"/>
          <w:highlight w:val="none"/>
        </w:rPr>
        <w:t>指定品牌、型号的，须在采购单位指定的品牌、型号范围内选定，不符合规定的，网上竞价无效。</w:t>
      </w:r>
    </w:p>
    <w:p>
      <w:pPr>
        <w:keepNext w:val="0"/>
        <w:keepLines w:val="0"/>
        <w:pageBreakBefore w:val="0"/>
        <w:widowControl/>
        <w:kinsoku/>
        <w:overflowPunct/>
        <w:topLinePunct w:val="0"/>
        <w:autoSpaceDE/>
        <w:autoSpaceDN/>
        <w:bidi w:val="0"/>
        <w:adjustRightInd/>
        <w:spacing w:line="240" w:lineRule="auto"/>
        <w:ind w:firstLine="421"/>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4、报名文件审核通过或是报价最低不作为最终成交的保证。</w:t>
      </w:r>
      <w:r>
        <w:rPr>
          <w:rFonts w:hint="eastAsia" w:ascii="宋体" w:hAnsi="宋体" w:eastAsia="宋体" w:cs="宋体"/>
          <w:color w:val="auto"/>
          <w:sz w:val="21"/>
          <w:szCs w:val="21"/>
          <w:highlight w:val="none"/>
        </w:rPr>
        <w:t>报价人必须对其报价文件中提供各种资料、说明的真实性负责。在报名文件审核过程中，如有发现报价人有为谋取成交而提供虚假资料的行为，将取消其报价资格，并按相关规定处罚；竞价结束后，采购单位有可能对成交人报价文件中的承诺内容和证明材料进行核查，成交人应无条件配合采购单位的核查工作，不得托词拒绝核查或隐瞒真实情况；若在签订合同时，发现成交人有提供虚假材料谋取成交等违法违规行为，将取消其成交人资格，并按相关规定处罚；给采购单位造成损失的，还必须进行赔偿并负相关责任。</w:t>
      </w:r>
    </w:p>
    <w:p>
      <w:pPr>
        <w:spacing w:line="240" w:lineRule="auto"/>
        <w:ind w:firstLine="420" w:firstLineChars="200"/>
        <w:jc w:val="left"/>
        <w:rPr>
          <w:rStyle w:val="8"/>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lang w:val="en-US" w:eastAsia="zh-CN"/>
        </w:rPr>
        <w:t>5、</w:t>
      </w:r>
      <w:r>
        <w:rPr>
          <w:rStyle w:val="8"/>
          <w:rFonts w:hint="eastAsia" w:ascii="宋体" w:hAnsi="宋体" w:eastAsia="宋体" w:cs="宋体"/>
          <w:color w:val="auto"/>
          <w:kern w:val="0"/>
          <w:sz w:val="21"/>
          <w:szCs w:val="21"/>
          <w:highlight w:val="none"/>
        </w:rPr>
        <w:t>有下列情形之一的，视为竞价人相互串通竞价，其竞价结果无效:</w:t>
      </w:r>
    </w:p>
    <w:p>
      <w:pPr>
        <w:spacing w:line="240" w:lineRule="auto"/>
        <w:ind w:firstLine="420" w:firstLineChars="200"/>
        <w:jc w:val="left"/>
        <w:rPr>
          <w:rStyle w:val="8"/>
          <w:rFonts w:hint="eastAsia" w:ascii="宋体" w:hAnsi="宋体" w:eastAsia="宋体" w:cs="宋体"/>
          <w:color w:val="auto"/>
          <w:kern w:val="0"/>
          <w:sz w:val="21"/>
          <w:szCs w:val="21"/>
          <w:highlight w:val="none"/>
        </w:rPr>
      </w:pPr>
      <w:r>
        <w:rPr>
          <w:rStyle w:val="8"/>
          <w:rFonts w:hint="eastAsia" w:ascii="宋体" w:hAnsi="宋体" w:eastAsia="宋体" w:cs="宋体"/>
          <w:color w:val="auto"/>
          <w:kern w:val="0"/>
          <w:sz w:val="21"/>
          <w:szCs w:val="21"/>
          <w:highlight w:val="none"/>
        </w:rPr>
        <w:t>①不同竞价人的证明材料由同一单位或者个人编制;</w:t>
      </w:r>
    </w:p>
    <w:p>
      <w:pPr>
        <w:spacing w:line="240" w:lineRule="auto"/>
        <w:ind w:firstLine="420" w:firstLineChars="200"/>
        <w:jc w:val="left"/>
        <w:rPr>
          <w:rStyle w:val="8"/>
          <w:rFonts w:hint="eastAsia" w:ascii="宋体" w:hAnsi="宋体" w:eastAsia="宋体" w:cs="宋体"/>
          <w:color w:val="auto"/>
          <w:kern w:val="0"/>
          <w:sz w:val="21"/>
          <w:szCs w:val="21"/>
          <w:highlight w:val="none"/>
        </w:rPr>
      </w:pPr>
      <w:r>
        <w:rPr>
          <w:rStyle w:val="8"/>
          <w:rFonts w:hint="eastAsia" w:ascii="宋体" w:hAnsi="宋体" w:eastAsia="宋体" w:cs="宋体"/>
          <w:color w:val="auto"/>
          <w:kern w:val="0"/>
          <w:sz w:val="21"/>
          <w:szCs w:val="21"/>
          <w:highlight w:val="none"/>
        </w:rPr>
        <w:t>②不同竞价人委托同一单位或者个人办理竞价事宜;</w:t>
      </w:r>
    </w:p>
    <w:p>
      <w:pPr>
        <w:spacing w:line="240" w:lineRule="auto"/>
        <w:ind w:firstLine="420" w:firstLineChars="200"/>
        <w:jc w:val="left"/>
        <w:rPr>
          <w:rStyle w:val="8"/>
          <w:rFonts w:hint="eastAsia" w:ascii="宋体" w:hAnsi="宋体" w:eastAsia="宋体" w:cs="宋体"/>
          <w:color w:val="auto"/>
          <w:kern w:val="0"/>
          <w:sz w:val="21"/>
          <w:szCs w:val="21"/>
          <w:highlight w:val="none"/>
        </w:rPr>
      </w:pPr>
      <w:r>
        <w:rPr>
          <w:rStyle w:val="8"/>
          <w:rFonts w:hint="eastAsia" w:ascii="宋体" w:hAnsi="宋体" w:eastAsia="宋体" w:cs="宋体"/>
          <w:color w:val="auto"/>
          <w:kern w:val="0"/>
          <w:sz w:val="21"/>
          <w:szCs w:val="21"/>
          <w:highlight w:val="none"/>
        </w:rPr>
        <w:t>③不同竞价人的证明材料载明的项目管理成员为同一人;</w:t>
      </w:r>
    </w:p>
    <w:p>
      <w:pPr>
        <w:spacing w:line="240" w:lineRule="auto"/>
        <w:ind w:firstLine="420" w:firstLineChars="200"/>
        <w:jc w:val="left"/>
        <w:rPr>
          <w:rFonts w:hint="eastAsia" w:ascii="宋体" w:hAnsi="宋体" w:eastAsia="宋体" w:cs="宋体"/>
          <w:color w:val="auto"/>
          <w:szCs w:val="21"/>
          <w:highlight w:val="none"/>
          <w:lang w:val="en-US" w:eastAsia="zh-CN"/>
        </w:rPr>
      </w:pPr>
      <w:r>
        <w:rPr>
          <w:rStyle w:val="8"/>
          <w:rFonts w:hint="eastAsia" w:ascii="宋体" w:hAnsi="宋体" w:eastAsia="宋体" w:cs="宋体"/>
          <w:color w:val="auto"/>
          <w:kern w:val="0"/>
          <w:sz w:val="21"/>
          <w:szCs w:val="21"/>
          <w:highlight w:val="none"/>
        </w:rPr>
        <w:t>④不同竞价人的报价呈规律性差异。</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竞价报价偏差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1、重大偏差。下列情况属于重大偏差：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（1）报价文件未按竞价文件要求加盖公章并由法定代表人或其书面授权的代理人签字的；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（2）报价文件载明的竞价项目完成期限超过竞价文件规定的；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（3）不符合技术规格、技术标准的要求；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（4）不符合服务和商务（售后）要求；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（5）报价文件附有采购人不能接受的条件；</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（6）不符合竞价文件中规定的其他实质性要求。</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报价文件有上述情形之一的，认定为未对竞价文件作出实质性响应，</w:t>
      </w:r>
      <w:r>
        <w:rPr>
          <w:rFonts w:hint="eastAsia" w:ascii="宋体" w:hAnsi="宋体" w:eastAsia="宋体" w:cs="宋体"/>
          <w:b/>
          <w:bCs/>
          <w:color w:val="auto"/>
          <w:sz w:val="21"/>
          <w:szCs w:val="21"/>
          <w:highlight w:val="none"/>
        </w:rPr>
        <w:t>作无效报价处理</w:t>
      </w:r>
      <w:r>
        <w:rPr>
          <w:rFonts w:hint="eastAsia" w:ascii="宋体" w:hAnsi="宋体" w:eastAsia="宋体" w:cs="宋体"/>
          <w:color w:val="auto"/>
          <w:sz w:val="21"/>
          <w:szCs w:val="21"/>
          <w:highlight w:val="none"/>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细微偏差。报价文件在实质上响应竞价公告要求，但在个别地方存在漏项或者提供了不完整的技术信息和数据等情况，并且补正这些遗漏或者不完整不会对其他报价人造成不公平的结果。细微偏差不影响报价文件的有效性。</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对存在细微偏差的报价人要求在审核结束前予以补正。补正的程序和方法按照法律法规对澄清的规定执行。无法补正的，可在审核时对细微偏差作不利于该报价人的认定。3个以上（含3个）的累积细微偏差视为技术商务不合格，该报价人不予推荐为成交候选人。</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审核时依据报价人的全部报价材料，对照竞价文件要求进行审核，逐一核对报价人提交的证明材料。资格条件和不响应技术商务要求的即为无效报价的实质性条款，须按照竞价文件要求提供证明材料；未提供证明材料的，认定为该项资格条件或该项实质性要求不符合；对报价描述和证明材料不一致的，认定为该项资格条件或该项实质性要求不响应；其他条款，对报价描述和证明材料不一致的，要求报价人进行书面澄清，并以不利于报价人的内容为准进行审核。报价人的澄清、说明应当采用书面形式，并不得超出报价文件的范围或者改变报价文件的实质性内容。报价人按要求进行澄清的，采购人以澄清内容为准进行验收；报价人未按要求进行澄清的，采购人以报价描述、证明材料中有利于采购人的内容进行验收。</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
          <w:bCs w:val="0"/>
          <w:color w:val="auto"/>
          <w:kern w:val="0"/>
          <w:szCs w:val="21"/>
          <w:highlight w:val="none"/>
          <w:lang w:eastAsia="zh-CN"/>
        </w:rPr>
        <w:t>九、</w:t>
      </w:r>
      <w:r>
        <w:rPr>
          <w:rFonts w:hint="eastAsia" w:ascii="宋体" w:hAnsi="宋体" w:eastAsia="宋体" w:cs="宋体"/>
          <w:b/>
          <w:bCs w:val="0"/>
          <w:color w:val="auto"/>
          <w:kern w:val="0"/>
          <w:szCs w:val="21"/>
          <w:highlight w:val="none"/>
        </w:rPr>
        <w:t>竞价保证金</w:t>
      </w:r>
      <w:r>
        <w:rPr>
          <w:rFonts w:hint="eastAsia" w:ascii="宋体" w:hAnsi="宋体" w:eastAsia="宋体" w:cs="宋体"/>
          <w:bCs/>
          <w:color w:val="auto"/>
          <w:kern w:val="0"/>
          <w:szCs w:val="21"/>
          <w:highlight w:val="none"/>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en-US" w:eastAsia="zh-CN"/>
        </w:rPr>
        <w:t>1、本次</w:t>
      </w:r>
      <w:r>
        <w:rPr>
          <w:rFonts w:hint="eastAsia" w:ascii="宋体" w:hAnsi="宋体" w:eastAsia="宋体" w:cs="宋体"/>
          <w:b/>
          <w:bCs w:val="0"/>
          <w:color w:val="auto"/>
          <w:kern w:val="0"/>
          <w:szCs w:val="21"/>
          <w:highlight w:val="none"/>
          <w:lang w:val="en-US" w:eastAsia="zh-CN"/>
        </w:rPr>
        <w:t>竞价保证金</w:t>
      </w:r>
      <w:r>
        <w:rPr>
          <w:rFonts w:hint="eastAsia" w:ascii="宋体" w:hAnsi="宋体" w:eastAsia="宋体" w:cs="宋体"/>
          <w:b/>
          <w:bCs w:val="0"/>
          <w:color w:val="auto"/>
          <w:kern w:val="0"/>
          <w:szCs w:val="21"/>
          <w:highlight w:val="none"/>
        </w:rPr>
        <w:t>人民币</w:t>
      </w:r>
      <w:r>
        <w:rPr>
          <w:rFonts w:hint="eastAsia" w:ascii="宋体" w:hAnsi="宋体" w:eastAsia="宋体" w:cs="宋体"/>
          <w:b/>
          <w:bCs w:val="0"/>
          <w:color w:val="auto"/>
          <w:kern w:val="0"/>
          <w:szCs w:val="21"/>
          <w:highlight w:val="none"/>
          <w:lang w:val="en-US" w:eastAsia="zh-CN"/>
        </w:rPr>
        <w:t>1000.00</w:t>
      </w:r>
      <w:r>
        <w:rPr>
          <w:rFonts w:hint="eastAsia" w:ascii="宋体" w:hAnsi="宋体" w:eastAsia="宋体" w:cs="宋体"/>
          <w:b/>
          <w:bCs w:val="0"/>
          <w:color w:val="auto"/>
          <w:kern w:val="0"/>
          <w:szCs w:val="21"/>
          <w:highlight w:val="none"/>
        </w:rPr>
        <w:t>元整</w:t>
      </w:r>
      <w:r>
        <w:rPr>
          <w:rFonts w:hint="eastAsia" w:ascii="宋体" w:hAnsi="宋体" w:eastAsia="宋体" w:cs="宋体"/>
          <w:bCs/>
          <w:color w:val="auto"/>
          <w:kern w:val="0"/>
          <w:szCs w:val="21"/>
          <w:highlight w:val="none"/>
        </w:rPr>
        <w:t>，以银行转账、电汇等非现金形式提交(不接受现金、现金存款形式提交)；竞价保证金不是以竞价人名义提交的，将导致其竞价资格被拒绝。</w:t>
      </w:r>
      <w:r>
        <w:rPr>
          <w:rFonts w:hint="eastAsia" w:ascii="宋体" w:hAnsi="宋体" w:eastAsia="宋体" w:cs="宋体"/>
          <w:b/>
          <w:color w:val="auto"/>
          <w:kern w:val="0"/>
          <w:szCs w:val="21"/>
          <w:highlight w:val="none"/>
        </w:rPr>
        <w:t>竞价人的竞价保证金未在竞价截止时间前一个工作日到达指定账户的将导致其竞价资格被拒绝。</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缴纳保证金账户信息：</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账 号：  7341 0101 826 0022 7015 </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2、未成交的竞价人，在竞价结果公告发布1个工作日后即可申请无息退回，成交供应商在向采购代理机构提供采购合同后可申请无息退回。</w:t>
      </w:r>
    </w:p>
    <w:p>
      <w:pPr>
        <w:keepNext w:val="0"/>
        <w:keepLines w:val="0"/>
        <w:pageBreakBefore w:val="0"/>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lang w:eastAsia="zh-CN"/>
        </w:rPr>
        <w:t>十、代理服务费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lang w:eastAsia="zh-CN"/>
        </w:rPr>
        <w:t>1、本项目代理服务费：本项目招标代理服务费由成交人支付，招标代理服务费按成交金额进行计算，收费比例1.5%。</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lang w:eastAsia="zh-CN"/>
        </w:rPr>
        <w:t>2、代理服务费的缴纳方式：</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lang w:eastAsia="zh-CN"/>
        </w:rPr>
        <w:t>1）成交人应在领取成交通知书的同时按规定的标准一次性向采购代理机构缴清代理服务费。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lang w:eastAsia="zh-CN"/>
        </w:rPr>
        <w:t>2）代理服务费以银行转账方式交纳。</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lang w:eastAsia="zh-CN"/>
        </w:rPr>
        <w:t>3、代理服务费缴交账号：</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账 号：  7341 0101 826 0022 7015 </w:t>
      </w:r>
    </w:p>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outlineLvl w:val="0"/>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br w:type="page"/>
      </w:r>
      <w:bookmarkStart w:id="9" w:name="_Toc19561"/>
      <w:r>
        <w:rPr>
          <w:rFonts w:hint="eastAsia" w:ascii="宋体" w:hAnsi="宋体" w:eastAsia="宋体" w:cs="宋体"/>
          <w:b/>
          <w:bCs/>
          <w:color w:val="auto"/>
          <w:kern w:val="0"/>
          <w:sz w:val="21"/>
          <w:szCs w:val="21"/>
          <w:highlight w:val="none"/>
          <w:lang w:eastAsia="zh-CN"/>
        </w:rPr>
        <w:t>第二部分</w:t>
      </w:r>
      <w:r>
        <w:rPr>
          <w:rFonts w:hint="eastAsia" w:ascii="宋体" w:hAnsi="宋体" w:eastAsia="宋体" w:cs="宋体"/>
          <w:b/>
          <w:bCs/>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lang w:eastAsia="zh-CN"/>
        </w:rPr>
        <w:t>竞价内容及要求</w:t>
      </w:r>
      <w:bookmarkEnd w:id="9"/>
    </w:p>
    <w:p>
      <w:pPr>
        <w:snapToGrid w:val="0"/>
        <w:spacing w:line="240" w:lineRule="auto"/>
        <w:ind w:right="168" w:rightChars="80" w:firstLine="422" w:firstLineChars="200"/>
        <w:outlineLvl w:val="1"/>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一、项目概况、技术和服务要求</w:t>
      </w:r>
    </w:p>
    <w:p>
      <w:pPr>
        <w:spacing w:line="24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竞价内容一览表</w:t>
      </w: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88"/>
        <w:gridCol w:w="876"/>
        <w:gridCol w:w="2176"/>
        <w:gridCol w:w="2280"/>
        <w:gridCol w:w="972"/>
        <w:gridCol w:w="1167"/>
        <w:gridCol w:w="12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78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合同包</w:t>
            </w:r>
          </w:p>
        </w:tc>
        <w:tc>
          <w:tcPr>
            <w:tcW w:w="87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品目号</w:t>
            </w:r>
          </w:p>
        </w:tc>
        <w:tc>
          <w:tcPr>
            <w:tcW w:w="217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名称</w:t>
            </w:r>
          </w:p>
        </w:tc>
        <w:tc>
          <w:tcPr>
            <w:tcW w:w="228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服务内容</w:t>
            </w:r>
          </w:p>
        </w:tc>
        <w:tc>
          <w:tcPr>
            <w:tcW w:w="97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单价（元）</w:t>
            </w:r>
          </w:p>
        </w:tc>
        <w:tc>
          <w:tcPr>
            <w:tcW w:w="11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总价</w:t>
            </w:r>
            <w:r>
              <w:rPr>
                <w:rFonts w:hint="eastAsia" w:ascii="宋体" w:hAnsi="宋体" w:eastAsia="宋体" w:cs="宋体"/>
                <w:color w:val="auto"/>
                <w:kern w:val="0"/>
                <w:sz w:val="21"/>
                <w:szCs w:val="21"/>
                <w:highlight w:val="none"/>
              </w:rPr>
              <w:t>（元）</w:t>
            </w:r>
          </w:p>
        </w:tc>
        <w:tc>
          <w:tcPr>
            <w:tcW w:w="1241"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竞价</w:t>
            </w:r>
            <w:r>
              <w:rPr>
                <w:rFonts w:hint="eastAsia" w:ascii="宋体" w:hAnsi="宋体" w:eastAsia="宋体" w:cs="宋体"/>
                <w:color w:val="auto"/>
                <w:kern w:val="0"/>
                <w:sz w:val="21"/>
                <w:szCs w:val="21"/>
                <w:highlight w:val="none"/>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788"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87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17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kern w:val="0"/>
                <w:sz w:val="21"/>
                <w:szCs w:val="21"/>
                <w:highlight w:val="none"/>
                <w:lang w:val="en-US"/>
              </w:rPr>
            </w:pPr>
            <w:r>
              <w:rPr>
                <w:rFonts w:hint="eastAsia" w:ascii="宋体" w:hAnsi="宋体" w:eastAsia="宋体" w:cs="宋体"/>
                <w:bCs/>
                <w:color w:val="auto"/>
                <w:sz w:val="21"/>
                <w:szCs w:val="21"/>
                <w:highlight w:val="none"/>
              </w:rPr>
              <w:t>福州职业技术学院</w:t>
            </w:r>
            <w:r>
              <w:rPr>
                <w:rFonts w:hint="eastAsia" w:ascii="宋体" w:hAnsi="宋体" w:eastAsia="宋体" w:cs="宋体"/>
                <w:bCs/>
                <w:color w:val="auto"/>
                <w:sz w:val="21"/>
                <w:szCs w:val="21"/>
                <w:highlight w:val="none"/>
                <w:lang w:val="en-US" w:eastAsia="zh-CN"/>
              </w:rPr>
              <w:t>数据中台功能升级服务项目</w:t>
            </w:r>
          </w:p>
        </w:tc>
        <w:tc>
          <w:tcPr>
            <w:tcW w:w="228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240" w:lineRule="auto"/>
              <w:jc w:val="left"/>
              <w:rPr>
                <w:rFonts w:hint="eastAsia" w:ascii="宋体" w:hAnsi="宋体" w:eastAsia="宋体" w:cs="宋体"/>
                <w:color w:val="auto"/>
                <w:kern w:val="0"/>
                <w:sz w:val="21"/>
                <w:szCs w:val="18"/>
                <w:highlight w:val="none"/>
                <w:lang w:val="en-US" w:eastAsia="zh-CN" w:bidi="ar-SA"/>
              </w:rPr>
            </w:pPr>
            <w:r>
              <w:rPr>
                <w:rFonts w:hint="eastAsia" w:ascii="宋体" w:hAnsi="宋体" w:eastAsia="宋体" w:cs="宋体"/>
                <w:color w:val="auto"/>
                <w:kern w:val="0"/>
                <w:sz w:val="21"/>
                <w:szCs w:val="18"/>
                <w:highlight w:val="none"/>
                <w:lang w:val="en-US" w:eastAsia="zh-CN" w:bidi="ar-SA"/>
              </w:rPr>
              <w:t>为保障福州职业技术学院与职业院校数字基座数据对接工作，更好地使用和管理上报数据。</w:t>
            </w:r>
          </w:p>
          <w:p>
            <w:pPr>
              <w:keepNext w:val="0"/>
              <w:keepLines w:val="0"/>
              <w:pageBreakBefore w:val="0"/>
              <w:kinsoku/>
              <w:wordWrap/>
              <w:overflowPunct/>
              <w:topLinePunct w:val="0"/>
              <w:autoSpaceDE/>
              <w:autoSpaceDN/>
              <w:bidi w:val="0"/>
              <w:spacing w:line="24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1.数据中台数据查看终端模块升级服务一项；</w:t>
            </w:r>
          </w:p>
          <w:p>
            <w:pPr>
              <w:keepNext w:val="0"/>
              <w:keepLines w:val="0"/>
              <w:pageBreakBefore w:val="0"/>
              <w:kinsoku/>
              <w:wordWrap/>
              <w:overflowPunct/>
              <w:topLinePunct w:val="0"/>
              <w:autoSpaceDE/>
              <w:autoSpaceDN/>
              <w:bidi w:val="0"/>
              <w:spacing w:line="24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2.数据中台文件管理模块升级服务一项；</w:t>
            </w:r>
          </w:p>
          <w:p>
            <w:pPr>
              <w:keepNext w:val="0"/>
              <w:keepLines w:val="0"/>
              <w:pageBreakBefore w:val="0"/>
              <w:kinsoku/>
              <w:wordWrap/>
              <w:overflowPunct/>
              <w:topLinePunct w:val="0"/>
              <w:autoSpaceDE/>
              <w:autoSpaceDN/>
              <w:bidi w:val="0"/>
              <w:spacing w:line="24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3.数据中台数据结构检测模块升级服务一项。</w:t>
            </w:r>
          </w:p>
        </w:tc>
        <w:tc>
          <w:tcPr>
            <w:tcW w:w="97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50000</w:t>
            </w:r>
          </w:p>
        </w:tc>
        <w:tc>
          <w:tcPr>
            <w:tcW w:w="11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50000</w:t>
            </w:r>
          </w:p>
        </w:tc>
        <w:tc>
          <w:tcPr>
            <w:tcW w:w="1241"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9500"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合同包预算</w:t>
            </w:r>
            <w:r>
              <w:rPr>
                <w:rFonts w:hint="eastAsia" w:ascii="宋体" w:hAnsi="宋体" w:eastAsia="宋体" w:cs="宋体"/>
                <w:color w:val="auto"/>
                <w:kern w:val="0"/>
                <w:sz w:val="21"/>
                <w:szCs w:val="21"/>
                <w:highlight w:val="none"/>
                <w:lang w:eastAsia="zh-CN"/>
              </w:rPr>
              <w:t>总价：人民币</w:t>
            </w:r>
            <w:r>
              <w:rPr>
                <w:rFonts w:hint="eastAsia" w:ascii="宋体" w:hAnsi="宋体" w:eastAsia="宋体" w:cs="宋体"/>
                <w:color w:val="auto"/>
                <w:kern w:val="0"/>
                <w:sz w:val="21"/>
                <w:szCs w:val="21"/>
                <w:highlight w:val="none"/>
                <w:lang w:val="en-US" w:eastAsia="zh-CN"/>
              </w:rPr>
              <w:t>伍万元</w:t>
            </w:r>
            <w:r>
              <w:rPr>
                <w:rFonts w:hint="eastAsia" w:ascii="宋体" w:hAnsi="宋体" w:eastAsia="宋体" w:cs="宋体"/>
                <w:color w:val="auto"/>
                <w:kern w:val="0"/>
                <w:sz w:val="21"/>
                <w:szCs w:val="21"/>
                <w:highlight w:val="none"/>
                <w:lang w:eastAsia="zh-CN"/>
              </w:rPr>
              <w:t>整（￥</w:t>
            </w:r>
            <w:r>
              <w:rPr>
                <w:rFonts w:hint="eastAsia" w:ascii="宋体" w:hAnsi="宋体" w:eastAsia="宋体" w:cs="宋体"/>
                <w:color w:val="auto"/>
                <w:kern w:val="0"/>
                <w:sz w:val="21"/>
                <w:szCs w:val="21"/>
                <w:highlight w:val="none"/>
                <w:lang w:val="en-US" w:eastAsia="zh-CN"/>
              </w:rPr>
              <w:t>50000</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9500" w:type="dxa"/>
            <w:gridSpan w:val="7"/>
            <w:tcBorders>
              <w:top w:val="outset" w:color="auto" w:sz="6" w:space="0"/>
              <w:left w:val="outset" w:color="auto" w:sz="6" w:space="0"/>
              <w:bottom w:val="outset" w:color="auto" w:sz="6" w:space="0"/>
              <w:right w:val="outset" w:color="auto" w:sz="6" w:space="0"/>
            </w:tcBorders>
            <w:noWrap w:val="0"/>
            <w:vAlign w:val="center"/>
          </w:tcPr>
          <w:p>
            <w:pPr>
              <w:rPr>
                <w:color w:val="auto"/>
                <w:highlight w:val="none"/>
              </w:rPr>
            </w:pPr>
            <w:r>
              <w:rPr>
                <w:rFonts w:hint="eastAsia" w:ascii="宋体" w:hAnsi="宋体" w:eastAsia="宋体" w:cs="宋体"/>
                <w:b/>
                <w:bCs/>
                <w:color w:val="auto"/>
                <w:sz w:val="21"/>
                <w:szCs w:val="24"/>
                <w:highlight w:val="none"/>
                <w:lang w:val="en-US" w:eastAsia="zh-CN"/>
              </w:rPr>
              <w:t>备注：</w:t>
            </w:r>
          </w:p>
          <w:p>
            <w:pPr>
              <w:pStyle w:val="5"/>
              <w:numPr>
                <w:ilvl w:val="0"/>
                <w:numId w:val="0"/>
              </w:numPr>
              <w:ind w:left="0" w:leftChars="0" w:firstLine="0" w:firstLineChars="0"/>
              <w:rPr>
                <w:rFonts w:hint="eastAsia" w:ascii="宋体" w:hAnsi="宋体" w:eastAsia="宋体" w:cs="宋体"/>
                <w:b/>
                <w:bCs/>
                <w:color w:val="auto"/>
                <w:sz w:val="21"/>
                <w:szCs w:val="24"/>
                <w:highlight w:val="none"/>
                <w:lang w:val="en-US" w:eastAsia="zh-CN"/>
              </w:rPr>
            </w:pPr>
            <w:r>
              <w:rPr>
                <w:rFonts w:hint="eastAsia" w:ascii="宋体" w:hAnsi="宋体" w:eastAsia="宋体" w:cs="宋体"/>
                <w:b w:val="0"/>
                <w:bCs w:val="0"/>
                <w:color w:val="auto"/>
                <w:sz w:val="21"/>
                <w:szCs w:val="24"/>
                <w:highlight w:val="none"/>
                <w:lang w:val="en-US" w:eastAsia="zh-CN"/>
              </w:rPr>
              <w:t>本项目所涉及的所有费用应包含税费、货物生产、制造、包装、运输、人工、税收、安装调试费及安装所需的辅料、验收、保修、退换货等履行本项目所支付的所有费用。</w:t>
            </w:r>
          </w:p>
        </w:tc>
      </w:tr>
    </w:tbl>
    <w:p>
      <w:pPr>
        <w:pageBreakBefore w:val="0"/>
        <w:widowControl/>
        <w:kinsoku/>
        <w:wordWrap/>
        <w:overflowPunct/>
        <w:topLinePunct w:val="0"/>
        <w:bidi w:val="0"/>
        <w:adjustRightInd/>
        <w:snapToGrid/>
        <w:spacing w:line="240" w:lineRule="auto"/>
        <w:ind w:firstLine="422" w:firstLineChars="200"/>
        <w:jc w:val="left"/>
        <w:rPr>
          <w:rFonts w:hint="default"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2、技术要求</w:t>
      </w:r>
    </w:p>
    <w:tbl>
      <w:tblPr>
        <w:tblStyle w:val="6"/>
        <w:tblW w:w="4913" w:type="pct"/>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305"/>
        <w:gridCol w:w="6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88" w:type="pct"/>
            <w:noWrap w:val="0"/>
            <w:vAlign w:val="center"/>
          </w:tcPr>
          <w:p>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779" w:type="pct"/>
            <w:noWrap/>
            <w:vAlign w:val="center"/>
          </w:tcPr>
          <w:p>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服务</w:t>
            </w:r>
            <w:r>
              <w:rPr>
                <w:rFonts w:hint="eastAsia" w:ascii="宋体" w:hAnsi="宋体" w:eastAsia="宋体" w:cs="宋体"/>
                <w:b/>
                <w:bCs/>
                <w:color w:val="auto"/>
                <w:kern w:val="0"/>
                <w:szCs w:val="21"/>
                <w:highlight w:val="none"/>
              </w:rPr>
              <w:t>名称</w:t>
            </w:r>
          </w:p>
        </w:tc>
        <w:tc>
          <w:tcPr>
            <w:tcW w:w="3832" w:type="pct"/>
            <w:noWrap/>
            <w:vAlign w:val="center"/>
          </w:tcPr>
          <w:p>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技术参数</w:t>
            </w:r>
            <w:r>
              <w:rPr>
                <w:rFonts w:hint="eastAsia" w:ascii="宋体" w:hAnsi="宋体" w:eastAsia="宋体" w:cs="宋体"/>
                <w:b/>
                <w:bCs/>
                <w:color w:val="auto"/>
                <w:kern w:val="0"/>
                <w:szCs w:val="21"/>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388" w:type="pct"/>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w:t>
            </w:r>
          </w:p>
        </w:tc>
        <w:tc>
          <w:tcPr>
            <w:tcW w:w="779" w:type="pct"/>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数据中台数据查看终端模块升级服务</w:t>
            </w:r>
          </w:p>
        </w:tc>
        <w:tc>
          <w:tcPr>
            <w:tcW w:w="3832" w:type="pct"/>
            <w:noWrap w:val="0"/>
            <w:vAlign w:val="top"/>
          </w:tcPr>
          <w:p>
            <w:pPr>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参照职业院校数字基座高职数据标准及接口规范（试行）V3.0</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版本的数据标准和元数据结构，</w:t>
            </w:r>
            <w:r>
              <w:rPr>
                <w:rFonts w:hint="eastAsia" w:ascii="宋体" w:hAnsi="宋体" w:eastAsia="宋体" w:cs="宋体"/>
                <w:color w:val="auto"/>
                <w:kern w:val="0"/>
                <w:szCs w:val="21"/>
                <w:highlight w:val="none"/>
                <w:lang w:val="en-US" w:eastAsia="zh-CN"/>
              </w:rPr>
              <w:t>在学校现有数据中台上进行功能升级，</w:t>
            </w:r>
            <w:r>
              <w:rPr>
                <w:rFonts w:hint="eastAsia" w:ascii="宋体" w:hAnsi="宋体" w:eastAsia="宋体" w:cs="宋体"/>
                <w:color w:val="auto"/>
                <w:kern w:val="0"/>
                <w:szCs w:val="21"/>
                <w:highlight w:val="none"/>
              </w:rPr>
              <w:t>完成数据中台数据查看终端模块升级服务，包括：</w:t>
            </w:r>
          </w:p>
          <w:p>
            <w:pPr>
              <w:pStyle w:val="9"/>
              <w:ind w:firstLine="0"/>
              <w:rPr>
                <w:rFonts w:hint="eastAsia" w:ascii="宋体" w:hAnsi="宋体" w:eastAsia="宋体"/>
                <w:color w:val="auto"/>
                <w:szCs w:val="21"/>
                <w:highlight w:val="none"/>
                <w:lang w:eastAsia="zh-Hans"/>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Hans"/>
              </w:rPr>
              <w:t>支持查看用户上传的数据、用户收藏的数据清单、用户已申请的数据清单、部门下有权限的数据资源和采集清单；</w:t>
            </w:r>
          </w:p>
          <w:p>
            <w:pPr>
              <w:pStyle w:val="9"/>
              <w:ind w:firstLine="0"/>
              <w:rPr>
                <w:rFonts w:hint="eastAsia" w:ascii="宋体" w:hAnsi="宋体" w:eastAsia="宋体"/>
                <w:color w:val="auto"/>
                <w:szCs w:val="21"/>
                <w:highlight w:val="none"/>
                <w:lang w:eastAsia="zh-Hans"/>
              </w:rPr>
            </w:pPr>
            <w:r>
              <w:rPr>
                <w:rFonts w:hint="eastAsia" w:ascii="宋体" w:hAnsi="宋体" w:eastAsia="宋体"/>
                <w:color w:val="auto"/>
                <w:szCs w:val="21"/>
                <w:highlight w:val="none"/>
              </w:rPr>
              <w:t>2）</w:t>
            </w:r>
            <w:r>
              <w:rPr>
                <w:rFonts w:hint="eastAsia" w:ascii="宋体" w:hAnsi="宋体" w:eastAsia="宋体"/>
                <w:color w:val="auto"/>
                <w:szCs w:val="21"/>
                <w:highlight w:val="none"/>
                <w:lang w:eastAsia="zh-Hans"/>
              </w:rPr>
              <w:t>支持用户</w:t>
            </w:r>
            <w:r>
              <w:rPr>
                <w:rFonts w:hint="eastAsia" w:ascii="宋体" w:hAnsi="宋体" w:eastAsia="宋体"/>
                <w:color w:val="auto"/>
                <w:szCs w:val="21"/>
                <w:highlight w:val="none"/>
              </w:rPr>
              <w:t>对</w:t>
            </w:r>
            <w:r>
              <w:rPr>
                <w:rFonts w:hint="eastAsia" w:ascii="宋体" w:hAnsi="宋体" w:eastAsia="宋体"/>
                <w:color w:val="auto"/>
                <w:szCs w:val="21"/>
                <w:highlight w:val="none"/>
                <w:lang w:eastAsia="zh-Hans"/>
              </w:rPr>
              <w:t>上传的数据</w:t>
            </w:r>
            <w:r>
              <w:rPr>
                <w:rFonts w:hint="eastAsia" w:ascii="宋体" w:hAnsi="宋体" w:eastAsia="宋体"/>
                <w:color w:val="auto"/>
                <w:szCs w:val="21"/>
                <w:highlight w:val="none"/>
              </w:rPr>
              <w:t>和</w:t>
            </w:r>
            <w:r>
              <w:rPr>
                <w:rFonts w:hint="eastAsia" w:ascii="宋体" w:hAnsi="宋体" w:eastAsia="宋体"/>
                <w:color w:val="auto"/>
                <w:szCs w:val="21"/>
                <w:highlight w:val="none"/>
                <w:lang w:eastAsia="zh-Hans"/>
              </w:rPr>
              <w:t>已申请的数据进行分类，用户可自由创建分类划分分类层级，便于对数据进行管理；</w:t>
            </w:r>
          </w:p>
          <w:p>
            <w:pPr>
              <w:pStyle w:val="9"/>
              <w:ind w:firstLine="0"/>
              <w:rPr>
                <w:rFonts w:hint="eastAsia" w:ascii="宋体" w:hAnsi="宋体" w:eastAsia="宋体"/>
                <w:color w:val="auto"/>
                <w:szCs w:val="21"/>
                <w:highlight w:val="none"/>
                <w:lang w:eastAsia="zh-Hans"/>
              </w:rPr>
            </w:pPr>
            <w:r>
              <w:rPr>
                <w:rFonts w:hint="eastAsia" w:ascii="宋体" w:hAnsi="宋体" w:eastAsia="宋体"/>
                <w:color w:val="auto"/>
                <w:szCs w:val="21"/>
                <w:highlight w:val="none"/>
              </w:rPr>
              <w:t>3）</w:t>
            </w:r>
            <w:r>
              <w:rPr>
                <w:rFonts w:hint="eastAsia" w:ascii="宋体" w:hAnsi="宋体" w:eastAsia="宋体"/>
                <w:color w:val="auto"/>
                <w:szCs w:val="21"/>
                <w:highlight w:val="none"/>
                <w:lang w:eastAsia="zh-Hans"/>
              </w:rPr>
              <w:t>支持用户把上传的数据进行批量移动到其他分类；</w:t>
            </w:r>
          </w:p>
          <w:p>
            <w:pPr>
              <w:pStyle w:val="9"/>
              <w:ind w:firstLine="0"/>
              <w:rPr>
                <w:rFonts w:hint="eastAsia" w:ascii="宋体" w:hAnsi="宋体" w:eastAsia="宋体"/>
                <w:color w:val="auto"/>
                <w:szCs w:val="21"/>
                <w:highlight w:val="none"/>
                <w:lang w:eastAsia="zh-Hans"/>
              </w:rPr>
            </w:pPr>
            <w:r>
              <w:rPr>
                <w:rFonts w:hint="eastAsia" w:ascii="宋体" w:hAnsi="宋体" w:eastAsia="宋体"/>
                <w:color w:val="auto"/>
                <w:szCs w:val="21"/>
                <w:highlight w:val="none"/>
              </w:rPr>
              <w:t>4）</w:t>
            </w:r>
            <w:r>
              <w:rPr>
                <w:rFonts w:hint="eastAsia" w:ascii="宋体" w:hAnsi="宋体" w:eastAsia="宋体"/>
                <w:color w:val="auto"/>
                <w:szCs w:val="21"/>
                <w:highlight w:val="none"/>
                <w:lang w:eastAsia="zh-Hans"/>
              </w:rPr>
              <w:t>支持用户取消收藏的数据清单；</w:t>
            </w:r>
          </w:p>
          <w:p>
            <w:pPr>
              <w:pStyle w:val="9"/>
              <w:ind w:firstLine="0"/>
              <w:rPr>
                <w:rFonts w:hint="eastAsia" w:ascii="宋体" w:hAnsi="宋体" w:eastAsia="宋体"/>
                <w:color w:val="auto"/>
                <w:szCs w:val="21"/>
                <w:highlight w:val="none"/>
                <w:lang w:eastAsia="zh-Hans"/>
              </w:rPr>
            </w:pPr>
            <w:r>
              <w:rPr>
                <w:rFonts w:hint="eastAsia" w:ascii="宋体" w:hAnsi="宋体" w:eastAsia="宋体"/>
                <w:color w:val="auto"/>
                <w:szCs w:val="21"/>
                <w:highlight w:val="none"/>
              </w:rPr>
              <w:t>5）</w:t>
            </w:r>
            <w:r>
              <w:rPr>
                <w:rFonts w:hint="eastAsia" w:ascii="宋体" w:hAnsi="宋体" w:eastAsia="宋体"/>
                <w:color w:val="auto"/>
                <w:szCs w:val="21"/>
                <w:highlight w:val="none"/>
                <w:lang w:eastAsia="zh-Hans"/>
              </w:rPr>
              <w:t>支持用户按任意条件对单张数据表进行数据过滤，查询方式简单便捷；</w:t>
            </w:r>
          </w:p>
          <w:p>
            <w:pPr>
              <w:pStyle w:val="9"/>
              <w:ind w:firstLine="0"/>
              <w:rPr>
                <w:rFonts w:hint="eastAsia" w:ascii="宋体" w:hAnsi="宋体" w:eastAsia="宋体"/>
                <w:color w:val="auto"/>
                <w:szCs w:val="21"/>
                <w:highlight w:val="none"/>
                <w:lang w:eastAsia="zh-Hans"/>
              </w:rPr>
            </w:pPr>
            <w:r>
              <w:rPr>
                <w:rFonts w:hint="eastAsia" w:ascii="宋体" w:hAnsi="宋体" w:eastAsia="宋体"/>
                <w:color w:val="auto"/>
                <w:szCs w:val="21"/>
                <w:highlight w:val="none"/>
              </w:rPr>
              <w:t>6）</w:t>
            </w:r>
            <w:r>
              <w:rPr>
                <w:rFonts w:hint="eastAsia" w:ascii="宋体" w:hAnsi="宋体" w:eastAsia="宋体"/>
                <w:color w:val="auto"/>
                <w:szCs w:val="21"/>
                <w:highlight w:val="none"/>
                <w:lang w:eastAsia="zh-Hans"/>
              </w:rPr>
              <w:t>支持对单张数据表的字段按需展示，用户可自由选择需显示的字段；</w:t>
            </w:r>
          </w:p>
          <w:p>
            <w:pPr>
              <w:pStyle w:val="9"/>
              <w:ind w:firstLine="0"/>
              <w:rPr>
                <w:rFonts w:hint="eastAsia" w:ascii="宋体" w:hAnsi="宋体" w:eastAsia="宋体"/>
                <w:color w:val="auto"/>
                <w:szCs w:val="21"/>
                <w:highlight w:val="none"/>
                <w:lang w:eastAsia="zh-Hans"/>
              </w:rPr>
            </w:pPr>
            <w:r>
              <w:rPr>
                <w:rFonts w:hint="eastAsia" w:ascii="宋体" w:hAnsi="宋体" w:eastAsia="宋体"/>
                <w:color w:val="auto"/>
                <w:szCs w:val="21"/>
                <w:highlight w:val="none"/>
              </w:rPr>
              <w:t>7）</w:t>
            </w:r>
            <w:r>
              <w:rPr>
                <w:rFonts w:hint="eastAsia" w:ascii="宋体" w:hAnsi="宋体" w:eastAsia="宋体"/>
                <w:color w:val="auto"/>
                <w:szCs w:val="21"/>
                <w:highlight w:val="none"/>
                <w:lang w:eastAsia="zh-Hans"/>
              </w:rPr>
              <w:t>支持查看单条数据的详情，可按字段名称快速检索；</w:t>
            </w:r>
          </w:p>
          <w:p>
            <w:pPr>
              <w:pStyle w:val="9"/>
              <w:ind w:firstLine="0"/>
              <w:rPr>
                <w:rFonts w:hint="eastAsia" w:ascii="宋体" w:hAnsi="宋体" w:eastAsia="宋体"/>
                <w:color w:val="auto"/>
                <w:szCs w:val="21"/>
                <w:highlight w:val="none"/>
                <w:lang w:eastAsia="zh-Hans"/>
              </w:rPr>
            </w:pPr>
            <w:r>
              <w:rPr>
                <w:rFonts w:hint="eastAsia" w:ascii="宋体" w:hAnsi="宋体" w:eastAsia="宋体"/>
                <w:color w:val="auto"/>
                <w:szCs w:val="21"/>
                <w:highlight w:val="none"/>
              </w:rPr>
              <w:t>8）</w:t>
            </w:r>
            <w:r>
              <w:rPr>
                <w:rFonts w:hint="eastAsia" w:ascii="宋体" w:hAnsi="宋体" w:eastAsia="宋体"/>
                <w:color w:val="auto"/>
                <w:szCs w:val="21"/>
                <w:highlight w:val="none"/>
                <w:lang w:eastAsia="zh-Hans"/>
              </w:rPr>
              <w:t>支持对单张数据表的每个字段进行排序；</w:t>
            </w:r>
          </w:p>
          <w:p>
            <w:pPr>
              <w:pStyle w:val="9"/>
              <w:ind w:firstLine="0"/>
              <w:rPr>
                <w:rFonts w:hint="eastAsia" w:ascii="宋体" w:hAnsi="宋体" w:eastAsia="宋体"/>
                <w:color w:val="auto"/>
                <w:szCs w:val="21"/>
                <w:highlight w:val="none"/>
                <w:lang w:eastAsia="zh-Hans"/>
              </w:rPr>
            </w:pPr>
            <w:r>
              <w:rPr>
                <w:rFonts w:hint="eastAsia" w:ascii="宋体" w:hAnsi="宋体" w:eastAsia="宋体"/>
                <w:color w:val="auto"/>
                <w:szCs w:val="21"/>
                <w:highlight w:val="none"/>
              </w:rPr>
              <w:t>9）</w:t>
            </w:r>
            <w:r>
              <w:rPr>
                <w:rFonts w:hint="eastAsia" w:ascii="宋体" w:hAnsi="宋体" w:eastAsia="宋体"/>
                <w:color w:val="auto"/>
                <w:szCs w:val="21"/>
                <w:highlight w:val="none"/>
                <w:lang w:eastAsia="zh-Hans"/>
              </w:rPr>
              <w:t>支持对单张数据表的每个字段的结果集进行条件过滤，默认展示结果集的前20条去重信息，条件过滤后，突出显示条件过滤的字段和字段已经过滤的条件</w:t>
            </w:r>
          </w:p>
          <w:p>
            <w:pPr>
              <w:pStyle w:val="9"/>
              <w:ind w:firstLine="0"/>
              <w:rPr>
                <w:rFonts w:hint="eastAsia" w:ascii="宋体" w:hAnsi="宋体" w:eastAsia="宋体"/>
                <w:color w:val="auto"/>
                <w:szCs w:val="21"/>
                <w:highlight w:val="none"/>
                <w:lang w:eastAsia="zh-Hans"/>
              </w:rPr>
            </w:pPr>
            <w:r>
              <w:rPr>
                <w:rFonts w:hint="eastAsia" w:ascii="宋体" w:hAnsi="宋体" w:eastAsia="宋体"/>
                <w:color w:val="auto"/>
                <w:szCs w:val="21"/>
                <w:highlight w:val="none"/>
              </w:rPr>
              <w:t>10）</w:t>
            </w:r>
            <w:r>
              <w:rPr>
                <w:rFonts w:hint="eastAsia" w:ascii="宋体" w:hAnsi="宋体" w:eastAsia="宋体"/>
                <w:color w:val="auto"/>
                <w:szCs w:val="21"/>
                <w:highlight w:val="none"/>
                <w:lang w:eastAsia="zh-Hans"/>
              </w:rPr>
              <w:t>支持CSV和XLSX文件格式的数据上传；</w:t>
            </w:r>
          </w:p>
          <w:p>
            <w:pPr>
              <w:pStyle w:val="9"/>
              <w:ind w:firstLine="0"/>
              <w:rPr>
                <w:rFonts w:hint="eastAsia" w:ascii="宋体" w:hAnsi="宋体" w:eastAsia="宋体"/>
                <w:color w:val="auto"/>
                <w:szCs w:val="21"/>
                <w:highlight w:val="none"/>
                <w:lang w:eastAsia="zh-Hans"/>
              </w:rPr>
            </w:pPr>
            <w:r>
              <w:rPr>
                <w:rFonts w:hint="eastAsia" w:ascii="宋体" w:hAnsi="宋体" w:eastAsia="宋体"/>
                <w:color w:val="auto"/>
                <w:szCs w:val="21"/>
                <w:highlight w:val="none"/>
              </w:rPr>
              <w:t>11）</w:t>
            </w:r>
            <w:r>
              <w:rPr>
                <w:rFonts w:hint="eastAsia" w:ascii="宋体" w:hAnsi="宋体" w:eastAsia="宋体"/>
                <w:color w:val="auto"/>
                <w:szCs w:val="21"/>
                <w:highlight w:val="none"/>
                <w:lang w:eastAsia="zh-Hans"/>
              </w:rPr>
              <w:t>上传数据支持多Sheet数据同时上传；</w:t>
            </w:r>
          </w:p>
          <w:p>
            <w:pPr>
              <w:pStyle w:val="9"/>
              <w:ind w:firstLine="0"/>
              <w:rPr>
                <w:rFonts w:hint="eastAsia" w:ascii="宋体" w:hAnsi="宋体" w:eastAsia="宋体"/>
                <w:color w:val="auto"/>
                <w:szCs w:val="21"/>
                <w:highlight w:val="none"/>
                <w:lang w:eastAsia="zh-Hans"/>
              </w:rPr>
            </w:pPr>
            <w:r>
              <w:rPr>
                <w:rFonts w:hint="eastAsia" w:ascii="宋体" w:hAnsi="宋体" w:eastAsia="宋体"/>
                <w:color w:val="auto"/>
                <w:szCs w:val="21"/>
                <w:highlight w:val="none"/>
              </w:rPr>
              <w:t>12）</w:t>
            </w:r>
            <w:r>
              <w:rPr>
                <w:rFonts w:hint="eastAsia" w:ascii="宋体" w:hAnsi="宋体" w:eastAsia="宋体"/>
                <w:color w:val="auto"/>
                <w:szCs w:val="21"/>
                <w:highlight w:val="none"/>
                <w:lang w:eastAsia="zh-Hans"/>
              </w:rPr>
              <w:t>上传数据支持预览；</w:t>
            </w:r>
          </w:p>
          <w:p>
            <w:pPr>
              <w:pStyle w:val="9"/>
              <w:ind w:firstLine="0"/>
              <w:rPr>
                <w:rFonts w:hint="eastAsia" w:ascii="宋体" w:hAnsi="宋体" w:eastAsia="宋体"/>
                <w:color w:val="auto"/>
                <w:szCs w:val="21"/>
                <w:highlight w:val="none"/>
                <w:lang w:eastAsia="zh-Hans"/>
              </w:rPr>
            </w:pPr>
            <w:r>
              <w:rPr>
                <w:rFonts w:hint="eastAsia" w:ascii="宋体" w:hAnsi="宋体" w:eastAsia="宋体"/>
                <w:color w:val="auto"/>
                <w:szCs w:val="21"/>
                <w:highlight w:val="none"/>
              </w:rPr>
              <w:t>13）</w:t>
            </w:r>
            <w:r>
              <w:rPr>
                <w:rFonts w:hint="eastAsia" w:ascii="宋体" w:hAnsi="宋体" w:eastAsia="宋体"/>
                <w:color w:val="auto"/>
                <w:szCs w:val="21"/>
                <w:highlight w:val="none"/>
                <w:lang w:eastAsia="zh-Hans"/>
              </w:rPr>
              <w:t>上传数据支持主键设置；</w:t>
            </w:r>
          </w:p>
          <w:p>
            <w:pPr>
              <w:pStyle w:val="9"/>
              <w:ind w:firstLine="0"/>
              <w:rPr>
                <w:rFonts w:hint="eastAsia" w:ascii="宋体" w:hAnsi="宋体" w:eastAsia="宋体"/>
                <w:color w:val="auto"/>
                <w:szCs w:val="21"/>
                <w:highlight w:val="none"/>
                <w:lang w:eastAsia="zh-Hans"/>
              </w:rPr>
            </w:pPr>
            <w:r>
              <w:rPr>
                <w:rFonts w:hint="eastAsia" w:ascii="宋体" w:hAnsi="宋体" w:eastAsia="宋体"/>
                <w:color w:val="auto"/>
                <w:szCs w:val="21"/>
                <w:highlight w:val="none"/>
              </w:rPr>
              <w:t>14）</w:t>
            </w:r>
            <w:r>
              <w:rPr>
                <w:rFonts w:hint="eastAsia" w:ascii="宋体" w:hAnsi="宋体" w:eastAsia="宋体"/>
                <w:color w:val="auto"/>
                <w:szCs w:val="21"/>
                <w:highlight w:val="none"/>
                <w:lang w:eastAsia="zh-Hans"/>
              </w:rPr>
              <w:t>上传数据支持数据去重，且可设置应用到全部上传的Sheet；</w:t>
            </w:r>
          </w:p>
          <w:p>
            <w:pPr>
              <w:pStyle w:val="9"/>
              <w:ind w:firstLine="0"/>
              <w:rPr>
                <w:rFonts w:hint="eastAsia" w:ascii="宋体" w:hAnsi="宋体" w:eastAsia="宋体"/>
                <w:color w:val="auto"/>
                <w:szCs w:val="21"/>
                <w:highlight w:val="none"/>
                <w:lang w:eastAsia="zh-Hans"/>
              </w:rPr>
            </w:pPr>
            <w:r>
              <w:rPr>
                <w:rFonts w:hint="eastAsia" w:ascii="宋体" w:hAnsi="宋体" w:eastAsia="宋体"/>
                <w:color w:val="auto"/>
                <w:szCs w:val="21"/>
                <w:highlight w:val="none"/>
              </w:rPr>
              <w:t>15）</w:t>
            </w:r>
            <w:r>
              <w:rPr>
                <w:rFonts w:hint="eastAsia" w:ascii="宋体" w:hAnsi="宋体" w:eastAsia="宋体"/>
                <w:color w:val="auto"/>
                <w:szCs w:val="21"/>
                <w:highlight w:val="none"/>
                <w:lang w:eastAsia="zh-Hans"/>
              </w:rPr>
              <w:t>导出数据可导出成CSV和XLSX文件格式，并可指定导出数据的字符集；</w:t>
            </w:r>
          </w:p>
          <w:p>
            <w:pPr>
              <w:pStyle w:val="9"/>
              <w:ind w:firstLine="0"/>
              <w:rPr>
                <w:rFonts w:hint="eastAsia" w:ascii="宋体" w:hAnsi="宋体" w:eastAsia="宋体"/>
                <w:color w:val="auto"/>
                <w:szCs w:val="21"/>
                <w:highlight w:val="none"/>
                <w:lang w:eastAsia="zh-Hans"/>
              </w:rPr>
            </w:pPr>
            <w:r>
              <w:rPr>
                <w:rFonts w:hint="eastAsia" w:ascii="宋体" w:hAnsi="宋体" w:eastAsia="宋体"/>
                <w:color w:val="auto"/>
                <w:szCs w:val="21"/>
                <w:highlight w:val="none"/>
              </w:rPr>
              <w:t>16）</w:t>
            </w:r>
            <w:r>
              <w:rPr>
                <w:rFonts w:hint="eastAsia" w:ascii="宋体" w:hAnsi="宋体" w:eastAsia="宋体"/>
                <w:color w:val="auto"/>
                <w:szCs w:val="21"/>
                <w:highlight w:val="none"/>
                <w:lang w:eastAsia="zh-Hans"/>
              </w:rPr>
              <w:t>支持选择是否导出表头和是否压缩文件；</w:t>
            </w:r>
          </w:p>
          <w:p>
            <w:pPr>
              <w:pStyle w:val="9"/>
              <w:ind w:firstLine="0"/>
              <w:rPr>
                <w:rFonts w:hint="eastAsia" w:ascii="宋体" w:hAnsi="宋体" w:eastAsia="宋体"/>
                <w:color w:val="auto"/>
                <w:szCs w:val="21"/>
                <w:highlight w:val="none"/>
                <w:lang w:eastAsia="zh-Hans"/>
              </w:rPr>
            </w:pPr>
            <w:r>
              <w:rPr>
                <w:rFonts w:hint="eastAsia" w:ascii="宋体" w:hAnsi="宋体" w:eastAsia="宋体"/>
                <w:color w:val="auto"/>
                <w:szCs w:val="21"/>
                <w:highlight w:val="none"/>
              </w:rPr>
              <w:t>17）</w:t>
            </w:r>
            <w:r>
              <w:rPr>
                <w:rFonts w:hint="eastAsia" w:ascii="宋体" w:hAnsi="宋体" w:eastAsia="宋体"/>
                <w:color w:val="auto"/>
                <w:szCs w:val="21"/>
                <w:highlight w:val="none"/>
                <w:lang w:eastAsia="zh-Hans"/>
              </w:rPr>
              <w:t>支持填写空值文本，数据为空时用指定的文本替换；</w:t>
            </w:r>
          </w:p>
          <w:p>
            <w:pPr>
              <w:pStyle w:val="9"/>
              <w:ind w:firstLine="0"/>
              <w:rPr>
                <w:rFonts w:hint="eastAsia" w:ascii="宋体" w:hAnsi="宋体" w:eastAsia="宋体"/>
                <w:color w:val="auto"/>
                <w:szCs w:val="21"/>
                <w:highlight w:val="none"/>
                <w:lang w:eastAsia="zh-Hans"/>
              </w:rPr>
            </w:pPr>
            <w:r>
              <w:rPr>
                <w:rFonts w:hint="eastAsia" w:ascii="宋体" w:hAnsi="宋体" w:eastAsia="宋体"/>
                <w:color w:val="auto"/>
                <w:szCs w:val="21"/>
                <w:highlight w:val="none"/>
              </w:rPr>
              <w:t>18）</w:t>
            </w:r>
            <w:r>
              <w:rPr>
                <w:rFonts w:hint="eastAsia" w:ascii="宋体" w:hAnsi="宋体" w:eastAsia="宋体"/>
                <w:color w:val="auto"/>
                <w:szCs w:val="21"/>
                <w:highlight w:val="none"/>
                <w:lang w:eastAsia="zh-Hans"/>
              </w:rPr>
              <w:t>支持导出数据按任意条件进行数据筛选，导出筛选后的数据；</w:t>
            </w:r>
          </w:p>
          <w:p>
            <w:p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eastAsia="zh-Hans"/>
              </w:rPr>
              <w:t>支持配置导出的数据项，不需要导出的字段信息可以去除。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388" w:type="pct"/>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w:t>
            </w:r>
          </w:p>
        </w:tc>
        <w:tc>
          <w:tcPr>
            <w:tcW w:w="779" w:type="pct"/>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数据中台文件管理模块升级服务</w:t>
            </w:r>
          </w:p>
        </w:tc>
        <w:tc>
          <w:tcPr>
            <w:tcW w:w="3832" w:type="pct"/>
            <w:noWrap w:val="0"/>
            <w:vAlign w:val="top"/>
          </w:tcPr>
          <w:p>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在学校现有数据中台上进行功能升级，提供文件管理模块，用于</w:t>
            </w:r>
            <w:r>
              <w:rPr>
                <w:rFonts w:hint="eastAsia" w:ascii="宋体" w:hAnsi="宋体" w:eastAsia="宋体" w:cs="宋体"/>
                <w:color w:val="auto"/>
                <w:kern w:val="0"/>
                <w:szCs w:val="21"/>
                <w:highlight w:val="none"/>
              </w:rPr>
              <w:t>职业院校数字基座</w:t>
            </w:r>
            <w:r>
              <w:rPr>
                <w:rFonts w:hint="eastAsia" w:ascii="宋体" w:hAnsi="宋体" w:eastAsia="宋体" w:cs="宋体"/>
                <w:color w:val="auto"/>
                <w:kern w:val="0"/>
                <w:szCs w:val="21"/>
                <w:highlight w:val="none"/>
                <w:lang w:val="en-US" w:eastAsia="zh-CN"/>
              </w:rPr>
              <w:t>上报</w:t>
            </w:r>
            <w:r>
              <w:rPr>
                <w:rFonts w:hint="eastAsia" w:ascii="宋体" w:hAnsi="宋体" w:eastAsia="宋体" w:cs="宋体"/>
                <w:color w:val="auto"/>
                <w:kern w:val="0"/>
                <w:szCs w:val="21"/>
                <w:highlight w:val="none"/>
              </w:rPr>
              <w:t>数据</w:t>
            </w:r>
            <w:r>
              <w:rPr>
                <w:rFonts w:hint="eastAsia" w:ascii="宋体" w:hAnsi="宋体" w:eastAsia="宋体" w:cs="宋体"/>
                <w:color w:val="auto"/>
                <w:kern w:val="0"/>
                <w:szCs w:val="21"/>
                <w:highlight w:val="none"/>
                <w:lang w:val="en-US" w:eastAsia="zh-CN"/>
              </w:rPr>
              <w:t>文件的管理，含有四个模块，分别是采集终端管理、文件采集、文件管理模块和任务管理模块。</w:t>
            </w:r>
          </w:p>
          <w:p>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1）采集终端管理</w:t>
            </w:r>
          </w:p>
          <w:p>
            <w:pPr>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①</w:t>
            </w:r>
            <w:r>
              <w:rPr>
                <w:rFonts w:hint="eastAsia" w:ascii="宋体" w:hAnsi="宋体" w:eastAsia="宋体" w:cs="宋体"/>
                <w:color w:val="auto"/>
                <w:kern w:val="0"/>
                <w:szCs w:val="21"/>
                <w:highlight w:val="none"/>
              </w:rPr>
              <w:t>采集终端管理模块用于添加采集终端并对已添加的采集终端进行管理，便于后续对终端进行文件的自动采集</w:t>
            </w:r>
            <w:r>
              <w:rPr>
                <w:rFonts w:hint="eastAsia" w:ascii="宋体" w:hAnsi="宋体" w:eastAsia="宋体" w:cs="宋体"/>
                <w:color w:val="auto"/>
                <w:kern w:val="0"/>
                <w:szCs w:val="21"/>
                <w:highlight w:val="none"/>
                <w:lang w:eastAsia="zh-CN"/>
              </w:rPr>
              <w:t>；</w:t>
            </w:r>
          </w:p>
          <w:p>
            <w:pPr>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②支持</w:t>
            </w:r>
            <w:r>
              <w:rPr>
                <w:rFonts w:hint="eastAsia" w:ascii="宋体" w:hAnsi="宋体" w:eastAsia="宋体" w:cs="宋体"/>
                <w:color w:val="auto"/>
                <w:kern w:val="0"/>
                <w:szCs w:val="21"/>
                <w:highlight w:val="none"/>
              </w:rPr>
              <w:t>填写采集终端地址、端口号、用户名、密码，点击连接测试后进行保存，即可完成添加</w:t>
            </w:r>
            <w:r>
              <w:rPr>
                <w:rFonts w:hint="eastAsia" w:ascii="宋体" w:hAnsi="宋体" w:eastAsia="宋体" w:cs="宋体"/>
                <w:color w:val="auto"/>
                <w:kern w:val="0"/>
                <w:szCs w:val="21"/>
                <w:highlight w:val="none"/>
                <w:lang w:eastAsia="zh-CN"/>
              </w:rPr>
              <w:t>；</w:t>
            </w:r>
          </w:p>
          <w:p>
            <w:pPr>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③支持</w:t>
            </w:r>
            <w:r>
              <w:rPr>
                <w:rFonts w:hint="eastAsia" w:ascii="宋体" w:hAnsi="宋体" w:eastAsia="宋体" w:cs="宋体"/>
                <w:color w:val="auto"/>
                <w:kern w:val="0"/>
                <w:szCs w:val="21"/>
                <w:highlight w:val="none"/>
              </w:rPr>
              <w:t>已添加的采集终端，在操作列可进行编辑和删除</w:t>
            </w:r>
            <w:r>
              <w:rPr>
                <w:rFonts w:hint="eastAsia" w:ascii="宋体" w:hAnsi="宋体" w:eastAsia="宋体" w:cs="宋体"/>
                <w:color w:val="auto"/>
                <w:kern w:val="0"/>
                <w:szCs w:val="21"/>
                <w:highlight w:val="none"/>
                <w:lang w:eastAsia="zh-CN"/>
              </w:rPr>
              <w:t>；</w:t>
            </w:r>
          </w:p>
          <w:p>
            <w:pPr>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④支持</w:t>
            </w:r>
            <w:r>
              <w:rPr>
                <w:rFonts w:hint="eastAsia" w:ascii="宋体" w:hAnsi="宋体" w:eastAsia="宋体" w:cs="宋体"/>
                <w:color w:val="auto"/>
                <w:kern w:val="0"/>
                <w:szCs w:val="21"/>
                <w:highlight w:val="none"/>
              </w:rPr>
              <w:t>查看该采集终端关联的采集任务信息。</w:t>
            </w:r>
          </w:p>
          <w:p>
            <w:pPr>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文件采集</w:t>
            </w:r>
          </w:p>
          <w:p>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①支持</w:t>
            </w:r>
            <w:r>
              <w:rPr>
                <w:rFonts w:hint="eastAsia" w:ascii="宋体" w:hAnsi="宋体" w:eastAsia="宋体" w:cs="宋体"/>
                <w:color w:val="auto"/>
                <w:kern w:val="0"/>
                <w:szCs w:val="21"/>
                <w:highlight w:val="none"/>
              </w:rPr>
              <w:t>创建和管理文件自动采集任务，支持根据任务名称和任务状态进行检索</w:t>
            </w:r>
            <w:r>
              <w:rPr>
                <w:rFonts w:hint="eastAsia" w:ascii="宋体" w:hAnsi="宋体" w:eastAsia="宋体" w:cs="宋体"/>
                <w:color w:val="auto"/>
                <w:kern w:val="0"/>
                <w:szCs w:val="21"/>
                <w:highlight w:val="none"/>
                <w:lang w:eastAsia="zh-CN"/>
              </w:rPr>
              <w:t>；</w:t>
            </w:r>
          </w:p>
          <w:p>
            <w:pPr>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②支持</w:t>
            </w:r>
            <w:r>
              <w:rPr>
                <w:rFonts w:hint="eastAsia" w:ascii="宋体" w:hAnsi="宋体" w:eastAsia="宋体" w:cs="宋体"/>
                <w:color w:val="auto"/>
                <w:kern w:val="0"/>
                <w:szCs w:val="21"/>
                <w:highlight w:val="none"/>
              </w:rPr>
              <w:t>填写基本信息、文件来源、文件存储、调度任务，点击确定按钮，完成采集任务的创建</w:t>
            </w:r>
            <w:r>
              <w:rPr>
                <w:rFonts w:hint="eastAsia" w:ascii="宋体" w:hAnsi="宋体" w:eastAsia="宋体" w:cs="宋体"/>
                <w:color w:val="auto"/>
                <w:kern w:val="0"/>
                <w:szCs w:val="21"/>
                <w:highlight w:val="none"/>
                <w:lang w:eastAsia="zh-CN"/>
              </w:rPr>
              <w:t>；</w:t>
            </w:r>
          </w:p>
          <w:p>
            <w:pPr>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③</w:t>
            </w:r>
            <w:r>
              <w:rPr>
                <w:rFonts w:hint="eastAsia" w:ascii="宋体" w:hAnsi="宋体" w:eastAsia="宋体" w:cs="宋体"/>
                <w:color w:val="auto"/>
                <w:kern w:val="0"/>
                <w:szCs w:val="21"/>
                <w:highlight w:val="none"/>
              </w:rPr>
              <w:t>在文件采集页面操作列，支持查看采集历史，编辑、立即执行/停止、删除采集任务。</w:t>
            </w:r>
          </w:p>
          <w:p>
            <w:pPr>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文件管理</w:t>
            </w:r>
          </w:p>
          <w:p>
            <w:pPr>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①支持</w:t>
            </w:r>
            <w:r>
              <w:rPr>
                <w:rFonts w:hint="eastAsia" w:ascii="宋体" w:hAnsi="宋体" w:eastAsia="宋体" w:cs="宋体"/>
                <w:color w:val="auto"/>
                <w:kern w:val="0"/>
                <w:szCs w:val="21"/>
                <w:highlight w:val="none"/>
              </w:rPr>
              <w:t>内置文件系统和ftp类型的文件管理，默认展示内置文件管理的列表</w:t>
            </w:r>
            <w:r>
              <w:rPr>
                <w:rFonts w:hint="eastAsia" w:ascii="宋体" w:hAnsi="宋体" w:eastAsia="宋体" w:cs="宋体"/>
                <w:color w:val="auto"/>
                <w:kern w:val="0"/>
                <w:szCs w:val="21"/>
                <w:highlight w:val="none"/>
                <w:lang w:eastAsia="zh-CN"/>
              </w:rPr>
              <w:t>；</w:t>
            </w:r>
          </w:p>
          <w:p>
            <w:pPr>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②</w:t>
            </w:r>
            <w:r>
              <w:rPr>
                <w:rFonts w:hint="eastAsia" w:ascii="宋体" w:hAnsi="宋体" w:eastAsia="宋体" w:cs="宋体"/>
                <w:color w:val="auto"/>
                <w:kern w:val="0"/>
                <w:szCs w:val="21"/>
                <w:highlight w:val="none"/>
              </w:rPr>
              <w:t>文件上传支持批量上传</w:t>
            </w:r>
            <w:r>
              <w:rPr>
                <w:rFonts w:hint="eastAsia" w:ascii="宋体" w:hAnsi="宋体" w:eastAsia="宋体" w:cs="宋体"/>
                <w:color w:val="auto"/>
                <w:kern w:val="0"/>
                <w:szCs w:val="21"/>
                <w:highlight w:val="none"/>
                <w:lang w:eastAsia="zh-CN"/>
              </w:rPr>
              <w:t>；</w:t>
            </w:r>
          </w:p>
          <w:p>
            <w:pPr>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③</w:t>
            </w:r>
            <w:r>
              <w:rPr>
                <w:rFonts w:hint="eastAsia" w:ascii="宋体" w:hAnsi="宋体" w:eastAsia="宋体" w:cs="宋体"/>
                <w:color w:val="auto"/>
                <w:kern w:val="0"/>
                <w:szCs w:val="21"/>
                <w:highlight w:val="none"/>
              </w:rPr>
              <w:t>对于已上传/采集的文件，支持对文件进行发布为数据清单，以及下载、编辑和删除文件</w:t>
            </w:r>
            <w:r>
              <w:rPr>
                <w:rFonts w:hint="eastAsia" w:ascii="宋体" w:hAnsi="宋体" w:eastAsia="宋体" w:cs="宋体"/>
                <w:color w:val="auto"/>
                <w:kern w:val="0"/>
                <w:szCs w:val="21"/>
                <w:highlight w:val="none"/>
                <w:lang w:eastAsia="zh-CN"/>
              </w:rPr>
              <w:t>；</w:t>
            </w:r>
          </w:p>
          <w:p>
            <w:pPr>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④</w:t>
            </w:r>
            <w:r>
              <w:rPr>
                <w:rFonts w:hint="eastAsia" w:ascii="宋体" w:hAnsi="宋体" w:eastAsia="宋体" w:cs="宋体"/>
                <w:color w:val="auto"/>
                <w:kern w:val="0"/>
                <w:szCs w:val="21"/>
                <w:highlight w:val="none"/>
              </w:rPr>
              <w:t>支持对文件进行批量修改部门、业务系统信息和下载</w:t>
            </w:r>
            <w:r>
              <w:rPr>
                <w:rFonts w:hint="eastAsia" w:ascii="宋体" w:hAnsi="宋体" w:eastAsia="宋体" w:cs="宋体"/>
                <w:color w:val="auto"/>
                <w:kern w:val="0"/>
                <w:szCs w:val="21"/>
                <w:highlight w:val="none"/>
                <w:lang w:eastAsia="zh-CN"/>
              </w:rPr>
              <w:t>；</w:t>
            </w:r>
          </w:p>
          <w:p>
            <w:pPr>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⑤</w:t>
            </w:r>
            <w:r>
              <w:rPr>
                <w:rFonts w:hint="eastAsia" w:ascii="宋体" w:hAnsi="宋体" w:eastAsia="宋体" w:cs="宋体"/>
                <w:color w:val="auto"/>
                <w:kern w:val="0"/>
                <w:szCs w:val="21"/>
                <w:highlight w:val="none"/>
              </w:rPr>
              <w:t>支持新增分类，也可修改删除已有的分类</w:t>
            </w:r>
            <w:r>
              <w:rPr>
                <w:rFonts w:hint="eastAsia" w:ascii="宋体" w:hAnsi="宋体" w:eastAsia="宋体" w:cs="宋体"/>
                <w:color w:val="auto"/>
                <w:kern w:val="0"/>
                <w:szCs w:val="21"/>
                <w:highlight w:val="none"/>
                <w:lang w:eastAsia="zh-CN"/>
              </w:rPr>
              <w:t>；</w:t>
            </w:r>
          </w:p>
          <w:p>
            <w:pPr>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⑥</w:t>
            </w:r>
            <w:r>
              <w:rPr>
                <w:rFonts w:hint="eastAsia" w:ascii="宋体" w:hAnsi="宋体" w:eastAsia="宋体" w:cs="宋体"/>
                <w:color w:val="auto"/>
                <w:kern w:val="0"/>
                <w:szCs w:val="21"/>
                <w:highlight w:val="none"/>
              </w:rPr>
              <w:t>支持根据主题、部门、关键词分类检索ftp类型的文件，也支持根据文件夹名称检索当前列表中的文件。</w:t>
            </w:r>
          </w:p>
          <w:p>
            <w:pPr>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任务管理</w:t>
            </w:r>
          </w:p>
          <w:p>
            <w:pPr>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任务管理模块</w:t>
            </w:r>
            <w:r>
              <w:rPr>
                <w:rFonts w:hint="eastAsia" w:ascii="宋体" w:hAnsi="宋体" w:eastAsia="宋体" w:cs="宋体"/>
                <w:color w:val="auto"/>
                <w:kern w:val="0"/>
                <w:szCs w:val="21"/>
                <w:highlight w:val="none"/>
                <w:lang w:val="en-US" w:eastAsia="zh-CN"/>
              </w:rPr>
              <w:t>支持</w:t>
            </w:r>
            <w:r>
              <w:rPr>
                <w:rFonts w:hint="eastAsia" w:ascii="宋体" w:hAnsi="宋体" w:eastAsia="宋体" w:cs="宋体"/>
                <w:color w:val="auto"/>
                <w:kern w:val="0"/>
                <w:szCs w:val="21"/>
                <w:highlight w:val="none"/>
              </w:rPr>
              <w:t>展示文件管理界面的文件上传状态。任务页面左上角支持根据开始日期和结束日期进行筛选。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388" w:type="pct"/>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3</w:t>
            </w:r>
          </w:p>
        </w:tc>
        <w:tc>
          <w:tcPr>
            <w:tcW w:w="779" w:type="pct"/>
            <w:noWrap w:val="0"/>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数据中台数据结构检测模块升级服务</w:t>
            </w:r>
          </w:p>
        </w:tc>
        <w:tc>
          <w:tcPr>
            <w:tcW w:w="3832" w:type="pct"/>
            <w:noWrap w:val="0"/>
            <w:vAlign w:val="top"/>
          </w:tcPr>
          <w:p>
            <w:pPr>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在学校现有数据中台上进行功能升级，提供数据结构检测模块，主要针对</w:t>
            </w:r>
            <w:r>
              <w:rPr>
                <w:rFonts w:hint="eastAsia" w:ascii="宋体" w:hAnsi="宋体" w:eastAsia="宋体" w:cs="宋体"/>
                <w:color w:val="auto"/>
                <w:kern w:val="0"/>
                <w:szCs w:val="21"/>
                <w:highlight w:val="none"/>
              </w:rPr>
              <w:t>职业院校数字基座</w:t>
            </w:r>
            <w:r>
              <w:rPr>
                <w:rFonts w:hint="eastAsia" w:ascii="宋体" w:hAnsi="宋体" w:eastAsia="宋体" w:cs="宋体"/>
                <w:color w:val="auto"/>
                <w:kern w:val="0"/>
                <w:szCs w:val="21"/>
                <w:highlight w:val="none"/>
                <w:lang w:val="en-US" w:eastAsia="zh-CN"/>
              </w:rPr>
              <w:t>上报</w:t>
            </w:r>
            <w:r>
              <w:rPr>
                <w:rFonts w:hint="eastAsia" w:ascii="宋体" w:hAnsi="宋体" w:eastAsia="宋体" w:cs="宋体"/>
                <w:color w:val="auto"/>
                <w:kern w:val="0"/>
                <w:szCs w:val="21"/>
                <w:highlight w:val="none"/>
              </w:rPr>
              <w:t>数据表中同名字段和同注释字段进行检测</w:t>
            </w:r>
            <w:r>
              <w:rPr>
                <w:rFonts w:hint="eastAsia" w:ascii="宋体" w:hAnsi="宋体" w:eastAsia="宋体" w:cs="宋体"/>
                <w:color w:val="auto"/>
                <w:kern w:val="0"/>
                <w:szCs w:val="21"/>
                <w:highlight w:val="none"/>
                <w:lang w:eastAsia="zh-CN"/>
              </w:rPr>
              <w:t>。</w:t>
            </w:r>
          </w:p>
          <w:p>
            <w:pPr>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①</w:t>
            </w:r>
            <w:r>
              <w:rPr>
                <w:rFonts w:hint="eastAsia" w:ascii="宋体" w:hAnsi="宋体" w:eastAsia="宋体" w:cs="宋体"/>
                <w:color w:val="auto"/>
                <w:kern w:val="0"/>
                <w:szCs w:val="21"/>
                <w:highlight w:val="none"/>
              </w:rPr>
              <w:t>支持对检测结果进行查看和下载，在页面左上方支持根据数据源名称、数据源类型进行检索</w:t>
            </w:r>
            <w:r>
              <w:rPr>
                <w:rFonts w:hint="eastAsia" w:ascii="宋体" w:hAnsi="宋体" w:eastAsia="宋体" w:cs="宋体"/>
                <w:color w:val="auto"/>
                <w:kern w:val="0"/>
                <w:szCs w:val="21"/>
                <w:highlight w:val="none"/>
                <w:lang w:eastAsia="zh-CN"/>
              </w:rPr>
              <w:t>；</w:t>
            </w:r>
          </w:p>
          <w:p>
            <w:pPr>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②支持</w:t>
            </w:r>
            <w:r>
              <w:rPr>
                <w:rFonts w:hint="eastAsia" w:ascii="宋体" w:hAnsi="宋体" w:eastAsia="宋体" w:cs="宋体"/>
                <w:color w:val="auto"/>
                <w:kern w:val="0"/>
                <w:szCs w:val="21"/>
                <w:highlight w:val="none"/>
              </w:rPr>
              <w:t>配置检测数据表结构的任务</w:t>
            </w:r>
            <w:r>
              <w:rPr>
                <w:rFonts w:hint="eastAsia" w:ascii="宋体" w:hAnsi="宋体" w:eastAsia="宋体" w:cs="宋体"/>
                <w:color w:val="auto"/>
                <w:kern w:val="0"/>
                <w:szCs w:val="21"/>
                <w:highlight w:val="none"/>
                <w:lang w:eastAsia="zh-CN"/>
              </w:rPr>
              <w:t>；</w:t>
            </w:r>
          </w:p>
          <w:p>
            <w:pPr>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③支持</w:t>
            </w: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检测</w:t>
            </w:r>
            <w:r>
              <w:rPr>
                <w:rFonts w:hint="eastAsia" w:ascii="宋体" w:hAnsi="宋体" w:eastAsia="宋体" w:cs="宋体"/>
                <w:color w:val="auto"/>
                <w:kern w:val="0"/>
                <w:szCs w:val="21"/>
                <w:highlight w:val="none"/>
              </w:rPr>
              <w:t>任务进行批量执行、删除、导出的操作</w:t>
            </w:r>
            <w:r>
              <w:rPr>
                <w:rFonts w:hint="eastAsia" w:ascii="宋体" w:hAnsi="宋体" w:eastAsia="宋体" w:cs="宋体"/>
                <w:color w:val="auto"/>
                <w:kern w:val="0"/>
                <w:szCs w:val="21"/>
                <w:highlight w:val="none"/>
                <w:lang w:eastAsia="zh-CN"/>
              </w:rPr>
              <w:t>；</w:t>
            </w:r>
          </w:p>
          <w:p>
            <w:pPr>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④支持</w:t>
            </w:r>
            <w:r>
              <w:rPr>
                <w:rFonts w:hint="eastAsia" w:ascii="宋体" w:hAnsi="宋体" w:eastAsia="宋体" w:cs="宋体"/>
                <w:color w:val="auto"/>
                <w:kern w:val="0"/>
                <w:szCs w:val="21"/>
                <w:highlight w:val="none"/>
              </w:rPr>
              <w:t>查看</w:t>
            </w:r>
            <w:r>
              <w:rPr>
                <w:rFonts w:hint="eastAsia" w:ascii="宋体" w:hAnsi="宋体" w:eastAsia="宋体" w:cs="宋体"/>
                <w:color w:val="auto"/>
                <w:kern w:val="0"/>
                <w:szCs w:val="21"/>
                <w:highlight w:val="none"/>
                <w:lang w:val="en-US" w:eastAsia="zh-CN"/>
              </w:rPr>
              <w:t>历史检测</w:t>
            </w:r>
            <w:r>
              <w:rPr>
                <w:rFonts w:hint="eastAsia" w:ascii="宋体" w:hAnsi="宋体" w:eastAsia="宋体" w:cs="宋体"/>
                <w:color w:val="auto"/>
                <w:kern w:val="0"/>
                <w:szCs w:val="21"/>
                <w:highlight w:val="none"/>
              </w:rPr>
              <w:t>任务</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可进行检测结果预览，查看同名字段对比和同注释字段对比，点击下载表格，可将结构下载至本地，也可点击数据结构检测列表和任务历史页面列表的操作栏的下载图标进行下载</w:t>
            </w:r>
            <w:r>
              <w:rPr>
                <w:rFonts w:hint="eastAsia" w:ascii="宋体" w:hAnsi="宋体" w:eastAsia="宋体" w:cs="宋体"/>
                <w:color w:val="auto"/>
                <w:kern w:val="0"/>
                <w:szCs w:val="21"/>
                <w:highlight w:val="none"/>
                <w:lang w:eastAsia="zh-CN"/>
              </w:rPr>
              <w:t>；</w:t>
            </w:r>
          </w:p>
          <w:p>
            <w:pPr>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⑤支持</w:t>
            </w:r>
            <w:r>
              <w:rPr>
                <w:rFonts w:hint="eastAsia" w:ascii="宋体" w:hAnsi="宋体" w:eastAsia="宋体" w:cs="宋体"/>
                <w:color w:val="auto"/>
                <w:kern w:val="0"/>
                <w:szCs w:val="21"/>
                <w:highlight w:val="none"/>
              </w:rPr>
              <w:t>在数据结构检测页面编辑</w:t>
            </w:r>
            <w:r>
              <w:rPr>
                <w:rFonts w:hint="eastAsia" w:ascii="宋体" w:hAnsi="宋体" w:eastAsia="宋体" w:cs="宋体"/>
                <w:color w:val="auto"/>
                <w:kern w:val="0"/>
                <w:szCs w:val="21"/>
                <w:highlight w:val="none"/>
                <w:lang w:val="en-US" w:eastAsia="zh-CN"/>
              </w:rPr>
              <w:t>检测</w:t>
            </w:r>
            <w:r>
              <w:rPr>
                <w:rFonts w:hint="eastAsia" w:ascii="宋体" w:hAnsi="宋体" w:eastAsia="宋体" w:cs="宋体"/>
                <w:color w:val="auto"/>
                <w:kern w:val="0"/>
                <w:szCs w:val="21"/>
                <w:highlight w:val="none"/>
              </w:rPr>
              <w:t>任务信息。</w:t>
            </w:r>
            <w:r>
              <w:rPr>
                <w:rFonts w:hint="eastAsia" w:ascii="宋体" w:hAnsi="宋体" w:eastAsia="宋体" w:cs="宋体"/>
                <w:color w:val="auto"/>
                <w:kern w:val="0"/>
                <w:szCs w:val="21"/>
                <w:highlight w:val="none"/>
                <w:lang w:val="en-US" w:eastAsia="zh-CN"/>
              </w:rPr>
              <w:t>也可</w:t>
            </w:r>
            <w:r>
              <w:rPr>
                <w:rFonts w:hint="eastAsia" w:ascii="宋体" w:hAnsi="宋体" w:eastAsia="宋体" w:cs="宋体"/>
                <w:color w:val="auto"/>
                <w:kern w:val="0"/>
                <w:szCs w:val="21"/>
                <w:highlight w:val="none"/>
              </w:rPr>
              <w:t>对任务进行删除。</w:t>
            </w:r>
          </w:p>
        </w:tc>
      </w:tr>
    </w:tbl>
    <w:p>
      <w:pPr>
        <w:pageBreakBefore w:val="0"/>
        <w:widowControl/>
        <w:kinsoku/>
        <w:wordWrap/>
        <w:overflowPunct/>
        <w:topLinePunct w:val="0"/>
        <w:bidi w:val="0"/>
        <w:adjustRightInd/>
        <w:snapToGrid/>
        <w:spacing w:line="240" w:lineRule="auto"/>
        <w:ind w:firstLine="422" w:firstLineChars="200"/>
        <w:jc w:val="left"/>
        <w:rPr>
          <w:rFonts w:hint="default" w:ascii="宋体" w:hAnsi="宋体" w:eastAsia="宋体" w:cs="宋体"/>
          <w:b/>
          <w:color w:val="auto"/>
          <w:kern w:val="0"/>
          <w:sz w:val="21"/>
          <w:szCs w:val="21"/>
          <w:highlight w:val="none"/>
          <w:lang w:val="en-US" w:eastAsia="zh-CN"/>
        </w:rPr>
      </w:pPr>
    </w:p>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color w:val="auto"/>
          <w:kern w:val="0"/>
          <w:sz w:val="21"/>
          <w:szCs w:val="21"/>
          <w:highlight w:val="none"/>
          <w:lang w:eastAsia="zh-CN"/>
        </w:rPr>
        <w:t>三、</w:t>
      </w:r>
      <w:r>
        <w:rPr>
          <w:rFonts w:hint="eastAsia" w:ascii="宋体" w:hAnsi="宋体" w:eastAsia="宋体" w:cs="宋体"/>
          <w:b/>
          <w:bCs/>
          <w:color w:val="auto"/>
          <w:sz w:val="21"/>
          <w:szCs w:val="21"/>
          <w:highlight w:val="none"/>
        </w:rPr>
        <w:t>商务条件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1、交付地点：福州职业技术学采购人指定地点。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服务时间：合同签订后15天内完成。</w:t>
      </w:r>
    </w:p>
    <w:p>
      <w:pPr>
        <w:pStyle w:val="10"/>
        <w:keepNext w:val="0"/>
        <w:keepLines w:val="0"/>
        <w:pageBreakBefore w:val="0"/>
        <w:kinsoku/>
        <w:wordWrap/>
        <w:overflowPunct/>
        <w:topLinePunct w:val="0"/>
        <w:bidi w:val="0"/>
        <w:adjustRightInd/>
        <w:snapToGrid/>
        <w:spacing w:line="240" w:lineRule="auto"/>
        <w:ind w:right="0" w:rightChars="0"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付款方式与条件</w:t>
      </w:r>
      <w:r>
        <w:rPr>
          <w:rFonts w:hint="eastAsia" w:ascii="宋体" w:hAnsi="宋体" w:eastAsia="宋体" w:cs="宋体"/>
          <w:b/>
          <w:bCs/>
          <w:color w:val="auto"/>
          <w:sz w:val="21"/>
          <w:szCs w:val="21"/>
          <w:highlight w:val="none"/>
          <w:lang w:eastAsia="zh-CN"/>
        </w:rPr>
        <w:t>：</w:t>
      </w:r>
    </w:p>
    <w:p>
      <w:pPr>
        <w:pStyle w:val="2"/>
        <w:spacing w:line="240" w:lineRule="auto"/>
        <w:ind w:firstLine="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招标内容及技术参数中所有内容经安装调试，并经验收合格后，15个工作日内学校凭收讫产品的验收凭证和产品验收合格文件等材料以转账方式向成交人一次性支付100%的货物价款。</w:t>
      </w:r>
    </w:p>
    <w:p>
      <w:pPr>
        <w:pStyle w:val="2"/>
        <w:spacing w:line="240" w:lineRule="auto"/>
        <w:ind w:firstLine="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质保期：</w:t>
      </w:r>
      <w:r>
        <w:rPr>
          <w:rFonts w:hint="eastAsia" w:ascii="宋体" w:hAnsi="宋体" w:eastAsia="宋体" w:cs="宋体"/>
          <w:color w:val="auto"/>
          <w:sz w:val="21"/>
          <w:szCs w:val="21"/>
          <w:highlight w:val="none"/>
        </w:rPr>
        <w:t>免费</w:t>
      </w:r>
      <w:r>
        <w:rPr>
          <w:rFonts w:hint="eastAsia" w:ascii="宋体" w:hAnsi="宋体" w:eastAsia="宋体" w:cs="宋体"/>
          <w:color w:val="auto"/>
          <w:sz w:val="21"/>
          <w:szCs w:val="21"/>
          <w:highlight w:val="none"/>
          <w:lang w:val="en-US" w:eastAsia="zh-CN"/>
        </w:rPr>
        <w:t>维护</w:t>
      </w:r>
      <w:r>
        <w:rPr>
          <w:rFonts w:hint="eastAsia" w:ascii="宋体" w:hAnsi="宋体" w:eastAsia="宋体" w:cs="宋体"/>
          <w:color w:val="auto"/>
          <w:sz w:val="21"/>
          <w:szCs w:val="21"/>
          <w:highlight w:val="none"/>
        </w:rPr>
        <w:t>期为</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年（从</w:t>
      </w:r>
      <w:r>
        <w:rPr>
          <w:rFonts w:hint="eastAsia" w:ascii="宋体" w:hAnsi="宋体" w:eastAsia="宋体" w:cs="宋体"/>
          <w:color w:val="auto"/>
          <w:sz w:val="21"/>
          <w:szCs w:val="21"/>
          <w:highlight w:val="none"/>
          <w:lang w:val="en-US" w:eastAsia="zh-CN"/>
        </w:rPr>
        <w:t>验收合格交付采购人使用</w:t>
      </w:r>
      <w:r>
        <w:rPr>
          <w:rFonts w:hint="eastAsia" w:ascii="宋体" w:hAnsi="宋体" w:eastAsia="宋体" w:cs="宋体"/>
          <w:color w:val="auto"/>
          <w:sz w:val="21"/>
          <w:szCs w:val="21"/>
          <w:highlight w:val="none"/>
        </w:rPr>
        <w:t>之日起算)</w:t>
      </w:r>
      <w:r>
        <w:rPr>
          <w:rFonts w:hint="eastAsia" w:ascii="宋体" w:hAnsi="宋体" w:eastAsia="宋体" w:cs="宋体"/>
          <w:color w:val="auto"/>
          <w:sz w:val="21"/>
          <w:szCs w:val="21"/>
          <w:highlight w:val="none"/>
          <w:lang w:eastAsia="zh-CN"/>
        </w:rPr>
        <w:t>。</w:t>
      </w:r>
    </w:p>
    <w:p>
      <w:pPr>
        <w:spacing w:line="240" w:lineRule="auto"/>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5.售后服务:</w:t>
      </w:r>
      <w:r>
        <w:rPr>
          <w:rFonts w:hint="eastAsia" w:ascii="宋体" w:hAnsi="宋体" w:eastAsia="宋体" w:cs="宋体"/>
          <w:color w:val="auto"/>
          <w:sz w:val="21"/>
          <w:szCs w:val="21"/>
          <w:highlight w:val="none"/>
        </w:rPr>
        <w:t xml:space="preserve"> </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5.1项目验收完成之后，</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rPr>
        <w:t>应为本系统工程及其他服务成果提供为期</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年的质保服务。</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5.2在质保期内，</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rPr>
        <w:t>应向采购人提供全面、有效、及时的技术支持和服务。</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rPr>
        <w:t>应说明售后服务和技术支持的范围和程度。</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5.3在质保期内，如果系统发生故障，</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rPr>
        <w:t>要调查故障原因并修复直至满足最终验收指标和性能的要求，或者更换整个或部分有缺陷的软件。以上都应是免费的。</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如采购人对系统有改进、增加新功能以及适应ITU－T、ISO等新标准的需求，</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rPr>
        <w:t>应承诺免费实现。</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rPr>
        <w:t>需向采购人所提出的售后服务要求做出实质性响应，有责任指定专业人员到现场指导系统的维护工作，提供免费质保服务。同时提供长期的技术支持服务。</w:t>
      </w:r>
    </w:p>
    <w:p>
      <w:pPr>
        <w:spacing w:line="24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注：在项目质保期内，</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b/>
          <w:bCs/>
          <w:color w:val="auto"/>
          <w:sz w:val="21"/>
          <w:szCs w:val="21"/>
          <w:highlight w:val="none"/>
        </w:rPr>
        <w:t>需提供至少1位售后工程师，负责系统运维调优、系统运营的人员驻场服务。</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5.5在系统测试运行、试运行和质保期内，</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rPr>
        <w:t>应提供7×24小时技术支持服务采购人，保证在任何时候采购人员都能及时联系到</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rPr>
        <w:t>的工程师。</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同时需派技术人员到现场指导维护工作，并提供5×8小时技术支持服务以解决本项目系统部署可能存在的部分缺陷问题。</w:t>
      </w:r>
    </w:p>
    <w:p>
      <w:pPr>
        <w:spacing w:line="240" w:lineRule="auto"/>
        <w:ind w:firstLine="422" w:firstLineChars="200"/>
        <w:jc w:val="left"/>
        <w:rPr>
          <w:rFonts w:hint="eastAsia" w:ascii="宋体" w:hAnsi="宋体" w:eastAsia="宋体" w:cs="宋体"/>
          <w:b/>
          <w:bCs/>
          <w:color w:val="auto"/>
          <w:sz w:val="21"/>
          <w:szCs w:val="21"/>
          <w:highlight w:val="none"/>
        </w:rPr>
      </w:pPr>
      <w:bookmarkStart w:id="10" w:name="_Toc25559"/>
      <w:bookmarkStart w:id="11" w:name="_Toc28748"/>
      <w:r>
        <w:rPr>
          <w:rFonts w:hint="eastAsia" w:ascii="宋体" w:hAnsi="宋体" w:eastAsia="宋体" w:cs="宋体"/>
          <w:b/>
          <w:bCs/>
          <w:color w:val="auto"/>
          <w:sz w:val="21"/>
          <w:szCs w:val="21"/>
          <w:highlight w:val="none"/>
        </w:rPr>
        <w:t>6、可能涉及的实施运维、升级更新等后续采购情况</w:t>
      </w:r>
      <w:bookmarkEnd w:id="10"/>
      <w:bookmarkEnd w:id="11"/>
    </w:p>
    <w:p>
      <w:pPr>
        <w:tabs>
          <w:tab w:val="left" w:pos="0"/>
        </w:tabs>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安全性、可靠性、经济性要求</w:t>
      </w:r>
    </w:p>
    <w:p>
      <w:pPr>
        <w:tabs>
          <w:tab w:val="left" w:pos="0"/>
        </w:tabs>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要求提供系统全生命周期内的BUG及安全漏洞消除、提供相关库（包含但不限于病毒库、各种特征库等）更新服务、软件版本的升级服务、接口开放对接、软件正版授权、应用定制、业务修订、产品安全应急响应、业务流程的重新适配等内容和相关费用测算；</w:t>
      </w:r>
    </w:p>
    <w:p>
      <w:pPr>
        <w:tabs>
          <w:tab w:val="left" w:pos="0"/>
        </w:tabs>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rPr>
        <w:t>应承担对采购人的保密义务，包括但不限于对系统架构、部署情况、数据、策略、参数等的保密义务；</w:t>
      </w:r>
    </w:p>
    <w:p>
      <w:pPr>
        <w:tabs>
          <w:tab w:val="left" w:pos="0"/>
        </w:tabs>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rPr>
        <w:t>应规范操作采购人数据，不得越权或越界操作；未经授权不得查询、获取、存储、传输采购人数据，不得向第三方泄露采购人数据；个人信息收集、管理和使用应遵循《个人信息保护法》的个人信息处理基本原则；</w:t>
      </w:r>
    </w:p>
    <w:p>
      <w:pPr>
        <w:tabs>
          <w:tab w:val="left" w:pos="0"/>
        </w:tabs>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（4）系统中使用的软件产品或组件必须符合国家有关知识产权的相关法律法规；</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rPr>
        <w:t>保证知识产权的合法性并承担可能侵权的责任。</w:t>
      </w:r>
    </w:p>
    <w:p>
      <w:pPr>
        <w:tabs>
          <w:tab w:val="left" w:pos="0"/>
        </w:tabs>
        <w:adjustRightInd w:val="0"/>
        <w:spacing w:line="240" w:lineRule="auto"/>
        <w:ind w:firstLine="420" w:firstLineChars="200"/>
        <w:rPr>
          <w:rFonts w:hint="eastAsia" w:ascii="宋体" w:hAnsi="宋体" w:eastAsia="宋体" w:cs="宋体"/>
          <w:color w:val="auto"/>
          <w:sz w:val="21"/>
          <w:szCs w:val="21"/>
          <w:highlight w:val="none"/>
        </w:rPr>
      </w:pPr>
      <w:bookmarkStart w:id="12" w:name="_Toc70196816"/>
      <w:bookmarkStart w:id="13" w:name="_Toc78273801"/>
      <w:r>
        <w:rPr>
          <w:rFonts w:hint="eastAsia" w:ascii="宋体" w:hAnsi="宋体" w:eastAsia="宋体" w:cs="宋体"/>
          <w:color w:val="auto"/>
          <w:sz w:val="21"/>
          <w:szCs w:val="21"/>
          <w:highlight w:val="none"/>
        </w:rPr>
        <w:t>6.2兼容对接</w:t>
      </w:r>
      <w:bookmarkEnd w:id="12"/>
      <w:r>
        <w:rPr>
          <w:rFonts w:hint="eastAsia" w:ascii="宋体" w:hAnsi="宋体" w:eastAsia="宋体" w:cs="宋体"/>
          <w:color w:val="auto"/>
          <w:sz w:val="21"/>
          <w:szCs w:val="21"/>
          <w:highlight w:val="none"/>
        </w:rPr>
        <w:t>要求</w:t>
      </w:r>
      <w:bookmarkEnd w:id="13"/>
    </w:p>
    <w:p>
      <w:pPr>
        <w:tabs>
          <w:tab w:val="left" w:pos="0"/>
        </w:tabs>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（1）升级改造部分必须与现有系统兼容对接、不得要求变动原有系统软件或硬件或配置的方案；</w:t>
      </w:r>
    </w:p>
    <w:p>
      <w:pPr>
        <w:tabs>
          <w:tab w:val="left" w:pos="0"/>
        </w:tabs>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（2）要求所有数据接口无条件免费向采购人开放使用；日后扩充各种点位时，提供免费接入授权且数量无限制；</w:t>
      </w:r>
    </w:p>
    <w:p>
      <w:pPr>
        <w:tabs>
          <w:tab w:val="left" w:pos="0"/>
        </w:tabs>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（3）要求所有的数据库建立、数据格式、各种功能定制等，均必须符合采购人数据标准与规范，接受采购人的业务指导；充分考虑与采购人的数据格式互通，严禁形成数据孤岛；</w:t>
      </w:r>
    </w:p>
    <w:p>
      <w:pPr>
        <w:tabs>
          <w:tab w:val="left" w:pos="0"/>
        </w:tabs>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（4）新建业务系统按照采购人需求实现与现有信息化相关子系统或数据的对接，并承担与第三方对接合作的费用；</w:t>
      </w:r>
    </w:p>
    <w:p>
      <w:pPr>
        <w:tabs>
          <w:tab w:val="left" w:pos="0"/>
        </w:tabs>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用器件（如硬盘等非自行生产或OEM第三方的器件），必须支持即插即用式替换，不得设置技术障碍（如设置私有协议、建立私有硬件接口等）或服务歧视政策（如用户采用第三方通用器件后拒绝售后服务等）；</w:t>
      </w:r>
    </w:p>
    <w:p>
      <w:pPr>
        <w:tabs>
          <w:tab w:val="left" w:pos="0"/>
        </w:tabs>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6.3人员要求</w:t>
      </w:r>
    </w:p>
    <w:p>
      <w:pPr>
        <w:tabs>
          <w:tab w:val="left" w:pos="0"/>
        </w:tabs>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（1）人员要求必须为</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rPr>
        <w:t>的自有在册在岗员工，不接受第三方的临时人员（提供人员最近半年的社保证明）、不接受转包；中标生效后必须按采购人要求一周内到采购人现场。</w:t>
      </w:r>
    </w:p>
    <w:p>
      <w:pPr>
        <w:tabs>
          <w:tab w:val="left" w:pos="0"/>
        </w:tabs>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（2）项目开始进入实施后相关成员应按需驻场进行实施，为保证项目的实施质量，实施驻场人员至少包括项目经理1名，具有流程服务开发、实施经验的实施工程师</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名，具有数据治理服务实施经验的实施工程师</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名，驻场时间不少于</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天。驻场维保服务人员应遵守采购人工作时间或值班安排，进行签到，特殊情况下随时响应；</w:t>
      </w:r>
    </w:p>
    <w:p>
      <w:pPr>
        <w:tabs>
          <w:tab w:val="left" w:pos="0"/>
        </w:tabs>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（3）项目经理必须为自有在册固定人员，项目完成验收前非不可抗力不得中途更换；项目经理到岗时需承诺不得同时兼任其他项目的成员。</w:t>
      </w:r>
    </w:p>
    <w:p>
      <w:pPr>
        <w:tabs>
          <w:tab w:val="left" w:pos="0"/>
        </w:tabs>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6.4项目维保要求</w:t>
      </w:r>
    </w:p>
    <w:p>
      <w:pPr>
        <w:tabs>
          <w:tab w:val="left" w:pos="0"/>
        </w:tabs>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所有项目均包含</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以上免费质保（主要设备及核心软件原则上为原厂质保）及版本更新、维保期内内业务的随时定制和修订、BUG消除、产品安全应急响应、业务流程的重新适配等相关服务，终身维修维护、软件终身免费维护及升级；仪器设备故障报修在2小时内响应，2个工作日内解决问题；产品常年提供技术支持，所需零部件及配件常年供应。</w:t>
      </w:r>
    </w:p>
    <w:p>
      <w:pPr>
        <w:tabs>
          <w:tab w:val="left" w:pos="0"/>
        </w:tabs>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其他相关情况</w:t>
      </w:r>
    </w:p>
    <w:p>
      <w:pPr>
        <w:tabs>
          <w:tab w:val="left" w:pos="0"/>
        </w:tabs>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（1）若无特殊需求，系统服务器应运行在采购人智慧校园云平台上；</w:t>
      </w:r>
    </w:p>
    <w:p>
      <w:pPr>
        <w:tabs>
          <w:tab w:val="left" w:pos="0"/>
        </w:tabs>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（2）系统应符合采购人信息化的统一身份认证、数据交换、集成规范和标准；</w:t>
      </w:r>
    </w:p>
    <w:p>
      <w:pPr>
        <w:tabs>
          <w:tab w:val="left" w:pos="0"/>
        </w:tabs>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（3）系统应遵循采购人信息化编码标准和代码开发标准；</w:t>
      </w:r>
    </w:p>
    <w:p>
      <w:pPr>
        <w:tabs>
          <w:tab w:val="left" w:pos="0"/>
        </w:tabs>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（4）升级改造部分须与现有系统对接；</w:t>
      </w:r>
    </w:p>
    <w:p>
      <w:pPr>
        <w:tabs>
          <w:tab w:val="left" w:pos="0"/>
        </w:tabs>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（5）产品应符合</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信息化数据交换、集成的规范和标准；数据接口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数据库超级管理员账号密码、数据字典等在此项目建设过程中产生的任何数据资产</w:t>
      </w:r>
      <w:r>
        <w:rPr>
          <w:rFonts w:hint="eastAsia" w:ascii="宋体" w:hAnsi="宋体" w:eastAsia="宋体" w:cs="宋体"/>
          <w:color w:val="auto"/>
          <w:sz w:val="21"/>
          <w:szCs w:val="21"/>
          <w:highlight w:val="none"/>
        </w:rPr>
        <w:t>无条件对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开放，数据接入</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数据中心，并保证在维保期内配合</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开展数据对接和数据治理工作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数据对接和数据治理工作费用包含在此项目中标价内</w:t>
      </w:r>
      <w:r>
        <w:rPr>
          <w:rFonts w:hint="eastAsia" w:ascii="宋体" w:hAnsi="宋体" w:eastAsia="宋体" w:cs="宋体"/>
          <w:color w:val="auto"/>
          <w:sz w:val="21"/>
          <w:szCs w:val="21"/>
          <w:highlight w:val="none"/>
        </w:rPr>
        <w:t>；</w:t>
      </w:r>
    </w:p>
    <w:p>
      <w:pPr>
        <w:tabs>
          <w:tab w:val="left" w:pos="0"/>
        </w:tabs>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（6）通用器件必须支持即插即用式替换，不得设置技术障碍（如设置私有协议、建立私有硬件接口等）；</w:t>
      </w:r>
    </w:p>
    <w:p>
      <w:pPr>
        <w:tabs>
          <w:tab w:val="left" w:pos="0"/>
        </w:tabs>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（7）使用正版授权软件。</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7、验收要求</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7.1验收标准</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7.1.1成交人所提供的产品必须是原装、全新的正品，符合国家的有关标准。标准：本合同所指的产品及服务应符合合同的技术规格所述的标准，如果没有提及适用标准，则应符合中华人民共和国国家标准或行业标准；如果中华人民共和国没有相关标准的，则采用产品来源国适用的官方标准。这些标准必须是有关机构发布的最新版本的标准。</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7.1.2成交人所提供的产品均由成交人免费安装至采购人指定的位置。</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7.1.3本合同价为固定价，不受时间、物价升降等因素的影响，成交人需按所报清单上所列品种供货，不准以其它同类型代替。</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7.1.4成交人应在供货同时向采购人提供所有有关本合同执行的技术文件。如果项目必需但合同又未作规定的要成交人才能提供的技术文件，成交人也应及时向采购人提供。技术文件可以是手册、说明、其他形式的文件资料。</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7.1.5上述技术文件应包含保证采购人能够正确进行使用、检查、测试、验收的需要的所有内容。</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7.1.6所有成交人提供的技术文件的全部费用已包含在合同总价中。</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7.1.7所有未列明交付时间的成交人应提供的技术文件，必须单独包装伴随产品按产品交付时间交付给采购人。技术文件未提供给采购人的，视为成交人未完全履行交付义务。</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7.1.8到货后采购人如发现成交人未提供有关文件，可以推迟付款，直至成交人补齐有关文件</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7.2验收方案</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7.2.1.供货验收：产品部署至采购人指定位置后，成交人和采购人一同对其全部产品、数量、功能等进行到货验收。成交人应负责在项目验收时将系统的全部有关技术文件、资料、及安装、测试报告等文档汇集成册交付项目单位。</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7.2.2.试运行：成交人应对产品的整体性能和功能进行自检，自检结果必须符合招标文件要求及合同中的相关条款，自检合格后，转入为期5天的试运行。试运行结束后，成交人应向采购人提交自检记录和试运行记录，并提出验收申请。</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7.2.3.最终验收</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采购人在收到成交人的验收申请后15个工作日内，采购人和成交人共同进行设备的验收。相关验收程序如下：</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7.2.3.1验收准备。按照具体时间、地点开验收工作准备会，明确验收内容和人员分工。</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7.2.3.2实地验收。根据准备会明确的分工和验收内容，按照采购合同的约定对每一项技术、服务、安全标准的履约情况开展核对工作。现场查看产品，核对产品功能、数量等相关信息是否一致，视实际条件抽测主要技术参数。</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7.2.3.3验收总结。验收工作完成后，召开验收总结会，由验收小组成员汇报验收情况，认真填写验收报告，验收结果经双方确认后，双方代表必须按规定的验收交接单上的项目对照本合同填好验收结果并签名盖章。验收过程中，若发现产品质量有问题成交人应无条件于7天内免费更换，重新检测并调试清楚后重新提交验收申请。在此期间，成交人在采购人现场进行安装、调试、集成、试运行直至验收所发生的一切费用由成交人承担且已含在投标总价中。</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7.3履约验收内容</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7.3.1验收内容根据中标文件及采购合同清单进行验收，验收内容包括：</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产品功能、数量、技术参数核对及检测验收，完成数据中台数据查看终端模块、数据中台文件管理模块和数据中台数据结构检测模块升级服务工作，并满足职业院校数字基座高职数据标准及接口规范（试行）V3.0.2版本的数据标准和元数据结构等要求。</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(2)软件功能实现效果结合软件功能清单进行验收。</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(3)配套使用文档及操作视频。</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 xml:space="preserve">(4)合同中对应项目人员培训执行清单。 </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7.3.2履约验收标准</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项目履约验收标准采用合同、招标文件所约定设备清单、技术参数、功能、数量，安装、调整、培训及售后、服务相关条款进行履约验收。</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8、检验与测试</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8.1交货时，成交人应就产品的质量、规格、性能、数量等进行详细而全面的检验。</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8.2采购人或其代表有权检验和测试产品，以确认产品是否符合要求，由此产生的费用由成交人承担。</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8.3如果任何被检验或测试的产品不能满足要求，采购人可以拒绝接受该产品，成交人应更换被拒绝的产品，以满足要求。</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9、知识产权</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9.1成交人须保障采购人在使用该产品或其任何一部分时不受到第三方关于侵犯专利权、商标权或工业设计权等知识产权的指控。如果任何第三方提出侵权指控与采购人无关，成交人须与第三方交涉并承担可能发生的责任与一切费用；如采购人因此而遭致损失的，成交人应赔偿该损失。</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9.2成交人为执行本合同而提供的技术资料、软件、系统、数据等，采购人终身有权进行使用，成交人不得主张任何费用。</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10、产权与风险转移</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合同标的产权与风险转移遵守如下约定：</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10.1.产品的产权以及损坏、灭失的风险在产品通过验收并交付使用前归属于成交人，在产品通过验收并交付使用时起由成交人转移至采购人。</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10.2产权和风险的转移，不影响因成交人履行义务不符合约定，采购人要求其承担违约责任的权利。</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11、保密</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11.1.未经采购人事先书面同意，成交人不得将由采购人为本合同提供的条文、规格、计划、资料、数据提供给与本合同无关的任何第三方，不得将其用于履行本合同之外的其它用途。即使向与履行本合同有关的人员提供，也应注意保密并限于履行合同所必需的范围。</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11.2.除了合同本身之外，上款所列举的任何物件均是采购人的财产。如果采购人有要求，成交人在收到采购人的要求后10日内应将这些物件及全部复制件还给采购人，不得留存任何备份。</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11.3.成交人违反本保密条款的，应支付合同总金额10%的违约金，并赔偿由此给采购人造成的任何损失。本条款在本合同履行期间至履行结束后均有效。</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bookmarkStart w:id="14" w:name="_GoBack"/>
      <w:bookmarkEnd w:id="14"/>
      <w:r>
        <w:rPr>
          <w:rFonts w:hint="eastAsia" w:ascii="宋体" w:hAnsi="宋体" w:cs="宋体"/>
          <w:b w:val="0"/>
          <w:bCs w:val="0"/>
          <w:color w:val="auto"/>
          <w:sz w:val="21"/>
          <w:szCs w:val="21"/>
          <w:highlight w:val="none"/>
          <w:lang w:val="en-US" w:eastAsia="zh-CN"/>
        </w:rPr>
        <w:t>2、违约责任</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12.1交货不符合约定或存在缺陷的</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成交人对所供产品与合同要求不符负有责任，如经检验证实不符或缺陷存在的，包括潜在的缺陷或使用不合适的功能等，采购人可根据本合同有关质量保证或检验、验收的规定，选择下述一种或多种结合的方法解决索赔事宜：</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12.1.1采购人要求退货并解除合同的，成交人应承担因退货而发生的一切损失和费用，包括利息、银行手续费、检验费以及为保管、维护和退回被拒收产品所发生的其它必要费用，且还应向采购人支付合同金额5%的违约金。</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12.1.2成交人收到采购人书面索赔通知后7天内，未给采购人答复的，视为索赔已被成交人接受。</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12.2逾期交货及逾期付款的赔偿</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12.2.1除不可抗力因素外，如果成交人不能按照合同规定的时间交付和提供服务，应及时以书面形式将逾期的事实、可能逾期的时间和原因通知采购人。采购人收到成交人通知后，将尽快作出评价，决定是否同意延长交货期及收取逾期赔偿费，逾期赔偿费的金额为采购人所遭受的所有损失。采购人在不影响合同项下的其它补救措施情况下，可从合同未付款中扣除逾期违约金，违约金按未交付产品价款的2%/天计算，逾期期限一旦达到30天，采购人有权解除合同，且成交人仍应按合同约定支付违约金。违约金的支付不影响采购人向成交人要求损害赔偿。</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12.2.2成交人未按约定提供售后 服务或给第三方造成损害的：</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如果成交人未能按照合同约定的时间提供售后 服务的，每逾期1天，成交人应向采购人支付本合同总额2%的违约金，若因此给采购人造成损失的，成交人还应赔偿采购人所受的损失。</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保修期内，成交人未尽保修义务的，采购人可自行寻求解决，成交人应承担自采购人提出故障申告至采购人自行解决相应故障期间内的违约金并赔偿采购人损失，采购人由此产生的费用，由成交人承担。</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12.2.3采购人逾期付款的(有正当拒付理由的除外)应按照逾期金额的每日0.5%支付逾期付款违约金。</w:t>
      </w:r>
    </w:p>
    <w:p>
      <w:pPr>
        <w:pStyle w:val="11"/>
        <w:spacing w:line="240"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12.3因成交人管理不当，致使产品的生产、包装、仓储、运输、装卸、安装、调试及验收过程中导致第三方权益受损的(如安全事故)，成交人除应赔偿第三方相应的损失外，还应向采购人支付本合同总额5%的违约金。</w:t>
      </w:r>
    </w:p>
    <w:p>
      <w:pPr>
        <w:pStyle w:val="11"/>
        <w:spacing w:line="24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12.4产品在安装及后续运行过程中，若因为产品问题造成采购人损失的，采购人有权向成交人要求赔偿(包括但不限于赔偿损失、诉讼费、律师费等)。</w:t>
      </w:r>
    </w:p>
    <w:p>
      <w:pPr>
        <w:pageBreakBefore w:val="0"/>
        <w:kinsoku/>
        <w:wordWrap/>
        <w:overflowPunct/>
        <w:topLinePunct w:val="0"/>
        <w:bidi w:val="0"/>
        <w:adjustRightInd/>
        <w:snapToGrid/>
        <w:spacing w:line="24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四、其他要求：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文件另有规定外，若出现有关法律、法规和规章有强制性规定但</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文件未列明的情形，则</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应按照有关法律、法规和规章强制性规定执行。</w:t>
      </w:r>
    </w:p>
    <w:p>
      <w:pPr>
        <w:keepNext w:val="0"/>
        <w:keepLines w:val="0"/>
        <w:pageBreakBefore w:val="0"/>
        <w:widowControl/>
        <w:kinsoku/>
        <w:overflowPunct/>
        <w:topLinePunct w:val="0"/>
        <w:autoSpaceDE/>
        <w:autoSpaceDN/>
        <w:bidi w:val="0"/>
        <w:adjustRightInd/>
        <w:spacing w:line="240" w:lineRule="auto"/>
        <w:ind w:firstLine="481" w:firstLineChars="0"/>
        <w:jc w:val="left"/>
        <w:textAlignment w:val="auto"/>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本章内容必须全部满足，</w:t>
      </w:r>
      <w:r>
        <w:rPr>
          <w:rFonts w:hint="eastAsia" w:ascii="宋体" w:hAnsi="宋体" w:eastAsia="宋体" w:cs="宋体"/>
          <w:b/>
          <w:bCs/>
          <w:color w:val="auto"/>
          <w:sz w:val="21"/>
          <w:szCs w:val="21"/>
          <w:highlight w:val="none"/>
        </w:rPr>
        <w:t>否则按无效报价处理。</w:t>
      </w:r>
    </w:p>
    <w:p>
      <w:pPr>
        <w:keepNext w:val="0"/>
        <w:keepLines w:val="0"/>
        <w:pageBreakBefore w:val="0"/>
        <w:widowControl/>
        <w:kinsoku/>
        <w:overflowPunct/>
        <w:topLinePunct w:val="0"/>
        <w:autoSpaceDE/>
        <w:autoSpaceDN/>
        <w:bidi w:val="0"/>
        <w:adjustRightInd/>
        <w:spacing w:line="380" w:lineRule="exact"/>
        <w:ind w:firstLine="420" w:firstLineChars="200"/>
        <w:jc w:val="righ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福建盛鑫招标代理有限公司</w:t>
      </w:r>
    </w:p>
    <w:p>
      <w:pPr>
        <w:keepNext w:val="0"/>
        <w:keepLines w:val="0"/>
        <w:pageBreakBefore w:val="0"/>
        <w:widowControl/>
        <w:kinsoku/>
        <w:overflowPunct/>
        <w:topLinePunct w:val="0"/>
        <w:autoSpaceDE/>
        <w:autoSpaceDN/>
        <w:bidi w:val="0"/>
        <w:adjustRightInd/>
        <w:spacing w:line="380" w:lineRule="exact"/>
        <w:ind w:firstLine="422" w:firstLineChars="200"/>
        <w:jc w:val="right"/>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202</w:t>
      </w:r>
      <w:r>
        <w:rPr>
          <w:rFonts w:hint="eastAsia" w:ascii="宋体" w:hAnsi="宋体" w:eastAsia="宋体" w:cs="宋体"/>
          <w:b/>
          <w:color w:val="auto"/>
          <w:kern w:val="0"/>
          <w:szCs w:val="21"/>
          <w:highlight w:val="none"/>
          <w:lang w:val="en-US" w:eastAsia="zh-CN"/>
        </w:rPr>
        <w:t>4</w:t>
      </w:r>
      <w:r>
        <w:rPr>
          <w:rFonts w:hint="eastAsia" w:ascii="宋体" w:hAnsi="宋体" w:eastAsia="宋体" w:cs="宋体"/>
          <w:b/>
          <w:color w:val="auto"/>
          <w:kern w:val="0"/>
          <w:szCs w:val="21"/>
          <w:highlight w:val="none"/>
        </w:rPr>
        <w:t>年</w:t>
      </w:r>
      <w:r>
        <w:rPr>
          <w:rFonts w:hint="eastAsia" w:ascii="宋体" w:hAnsi="宋体" w:eastAsia="宋体" w:cs="宋体"/>
          <w:b/>
          <w:color w:val="auto"/>
          <w:kern w:val="0"/>
          <w:szCs w:val="21"/>
          <w:highlight w:val="none"/>
          <w:lang w:val="en-US" w:eastAsia="zh-CN"/>
        </w:rPr>
        <w:t>10</w:t>
      </w:r>
      <w:r>
        <w:rPr>
          <w:rFonts w:hint="eastAsia" w:ascii="宋体" w:hAnsi="宋体" w:eastAsia="宋体" w:cs="宋体"/>
          <w:b/>
          <w:color w:val="auto"/>
          <w:kern w:val="0"/>
          <w:szCs w:val="21"/>
          <w:highlight w:val="none"/>
        </w:rPr>
        <w:t>月</w:t>
      </w: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DECE1"/>
    <w:multiLevelType w:val="singleLevel"/>
    <w:tmpl w:val="578DECE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61E6B"/>
    <w:rsid w:val="30EC412B"/>
    <w:rsid w:val="42A61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3"/>
    <w:uiPriority w:val="0"/>
    <w:pPr>
      <w:ind w:firstLine="420" w:firstLineChars="200"/>
    </w:pPr>
  </w:style>
  <w:style w:type="paragraph" w:styleId="3">
    <w:name w:val="Body Text Indent"/>
    <w:basedOn w:val="1"/>
    <w:uiPriority w:val="0"/>
    <w:pPr>
      <w:spacing w:after="120"/>
      <w:ind w:left="420" w:leftChars="200"/>
    </w:p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paragraph" w:styleId="5">
    <w:name w:val="Body Text First Indent 2"/>
    <w:basedOn w:val="3"/>
    <w:qFormat/>
    <w:uiPriority w:val="0"/>
    <w:pPr>
      <w:spacing w:before="50" w:after="120" w:line="240" w:lineRule="auto"/>
      <w:ind w:left="420" w:leftChars="200" w:firstLine="200" w:firstLineChars="200"/>
    </w:pPr>
    <w:rPr>
      <w:rFonts w:ascii="Times New Roman" w:eastAsia="宋体"/>
      <w:sz w:val="21"/>
      <w:szCs w:val="24"/>
    </w:rPr>
  </w:style>
  <w:style w:type="character" w:customStyle="1" w:styleId="8">
    <w:name w:val="NormalCharacter"/>
    <w:qFormat/>
    <w:uiPriority w:val="0"/>
    <w:rPr>
      <w:rFonts w:ascii="Calibri" w:hAnsi="Calibri" w:cs="宋体"/>
      <w:kern w:val="2"/>
      <w:sz w:val="21"/>
      <w:szCs w:val="24"/>
      <w:lang w:val="en-US" w:eastAsia="zh-CN" w:bidi="ar-SA"/>
    </w:rPr>
  </w:style>
  <w:style w:type="paragraph" w:customStyle="1" w:styleId="9">
    <w:name w:val="首行缩进"/>
    <w:basedOn w:val="1"/>
    <w:qFormat/>
    <w:uiPriority w:val="0"/>
    <w:pPr>
      <w:ind w:firstLine="420"/>
    </w:pPr>
    <w:rPr>
      <w:rFonts w:cs="宋体"/>
      <w:szCs w:val="20"/>
    </w:rPr>
  </w:style>
  <w:style w:type="paragraph" w:customStyle="1" w:styleId="10">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 w:type="paragraph" w:customStyle="1" w:styleId="11">
    <w:name w:val="无间隔1"/>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2024-10-29T09:11:00Z</dcterms:created>
  <dc:creator>Administrator</dc:creator>
  <cp:lastModifiedBy>Administrator</cp:lastModifiedBy>
  <dcterms:modified xsi:type="dcterms:W3CDTF">2024-10-29T10:29:40Z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