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overflowPunct/>
        <w:topLinePunct w:val="0"/>
        <w:autoSpaceDE/>
        <w:autoSpaceDN/>
        <w:bidi w:val="0"/>
        <w:adjustRightInd/>
        <w:spacing w:line="360" w:lineRule="auto"/>
        <w:jc w:val="center"/>
        <w:textAlignment w:val="auto"/>
        <w:outlineLvl w:val="9"/>
        <w:rPr>
          <w:rFonts w:hint="eastAsia" w:ascii="宋体" w:hAnsi="宋体"/>
          <w:b/>
          <w:bCs/>
          <w:color w:val="000000"/>
          <w:sz w:val="21"/>
          <w:szCs w:val="21"/>
        </w:rPr>
      </w:pPr>
      <w:r>
        <w:rPr>
          <w:rFonts w:hint="eastAsia" w:ascii="宋体" w:hAnsi="宋体"/>
          <w:b/>
          <w:bCs/>
          <w:color w:val="000000"/>
          <w:sz w:val="21"/>
          <w:szCs w:val="21"/>
        </w:rPr>
        <w:t>福州职业技术学院船政校区学员宿舍搬迁、整理项目</w:t>
      </w:r>
      <w:r>
        <w:rPr>
          <w:rFonts w:hint="eastAsia" w:ascii="宋体" w:hAnsi="宋体"/>
          <w:b/>
          <w:bCs/>
          <w:color w:val="000000"/>
          <w:sz w:val="21"/>
          <w:szCs w:val="21"/>
          <w:lang w:val="en-US" w:eastAsia="zh-CN"/>
        </w:rPr>
        <w:t>网上竞价公告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rPr>
      </w:pPr>
      <w:bookmarkStart w:id="0" w:name="_Toc3261"/>
      <w:bookmarkStart w:id="1" w:name="_Toc6176"/>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bookmarkStart w:id="10" w:name="_GoBack"/>
      <w:bookmarkEnd w:id="10"/>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4012</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项目名称：福州职业技术学院船政校区学员宿舍搬迁、整理项目</w:t>
      </w:r>
      <w:r>
        <w:rPr>
          <w:rFonts w:hint="eastAsia" w:ascii="宋体" w:hAnsi="宋体"/>
          <w:color w:val="auto"/>
          <w:sz w:val="21"/>
          <w:szCs w:val="21"/>
          <w:lang w:val="en-US" w:eastAsia="zh-CN"/>
        </w:rPr>
        <w:t xml:space="preserve"> </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w:t>
      </w:r>
      <w:r>
        <w:rPr>
          <w:rFonts w:hint="eastAsia" w:ascii="宋体" w:hAnsi="宋体"/>
          <w:b/>
          <w:bCs/>
          <w:color w:val="auto"/>
          <w:sz w:val="21"/>
          <w:szCs w:val="21"/>
          <w:lang w:val="en-US" w:eastAsia="zh-CN"/>
        </w:rPr>
        <w:t>9</w:t>
      </w:r>
      <w:r>
        <w:rPr>
          <w:rFonts w:hint="eastAsia" w:ascii="宋体" w:hAnsi="宋体"/>
          <w:b/>
          <w:bCs/>
          <w:color w:val="auto"/>
          <w:sz w:val="21"/>
          <w:szCs w:val="21"/>
        </w:rPr>
        <w:t>月</w:t>
      </w:r>
      <w:r>
        <w:rPr>
          <w:rFonts w:hint="eastAsia" w:ascii="宋体" w:hAnsi="宋体"/>
          <w:b/>
          <w:bCs/>
          <w:color w:val="auto"/>
          <w:sz w:val="21"/>
          <w:szCs w:val="21"/>
          <w:lang w:val="en-US" w:eastAsia="zh-CN"/>
        </w:rPr>
        <w:t>30</w:t>
      </w:r>
      <w:r>
        <w:rPr>
          <w:rFonts w:hint="eastAsia" w:ascii="宋体" w:hAnsi="宋体"/>
          <w:b/>
          <w:bCs/>
          <w:color w:val="auto"/>
          <w:sz w:val="21"/>
          <w:szCs w:val="21"/>
        </w:rPr>
        <w:t>日9：00-202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9</w:t>
      </w:r>
      <w:r>
        <w:rPr>
          <w:rFonts w:hint="eastAsia" w:ascii="宋体" w:hAnsi="宋体"/>
          <w:b/>
          <w:bCs/>
          <w:color w:val="auto"/>
          <w:sz w:val="21"/>
          <w:szCs w:val="21"/>
        </w:rPr>
        <w:t>日17:</w:t>
      </w:r>
      <w:r>
        <w:rPr>
          <w:rFonts w:hint="eastAsia" w:ascii="宋体" w:hAnsi="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10</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联系人：汪</w:t>
      </w:r>
      <w:r>
        <w:rPr>
          <w:rFonts w:hint="eastAsia" w:ascii="宋体" w:hAnsi="宋体" w:eastAsia="宋体" w:cs="宋体"/>
          <w:color w:val="auto"/>
          <w:kern w:val="0"/>
          <w:sz w:val="21"/>
          <w:szCs w:val="21"/>
          <w:highlight w:val="none"/>
          <w:lang w:val="en-US" w:eastAsia="zh-CN"/>
        </w:rPr>
        <w:t>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联系电话：18906901575</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042883"/>
            <w:bookmarkStart w:id="7" w:name="_Toc385840944"/>
            <w:bookmarkStart w:id="8" w:name="_Toc140400460"/>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rPr>
              <w:t>船政校区学员宿舍搬迁、整理项目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35000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叁万伍仟</w:t>
            </w:r>
            <w:r>
              <w:rPr>
                <w:rFonts w:hint="eastAsia" w:ascii="宋体" w:hAnsi="宋体" w:eastAsia="宋体" w:cs="宋体"/>
                <w:color w:val="auto"/>
                <w:kern w:val="0"/>
                <w:sz w:val="21"/>
                <w:szCs w:val="21"/>
                <w:lang w:eastAsia="zh-CN"/>
              </w:rPr>
              <w:t>元整（￥</w:t>
            </w:r>
            <w:r>
              <w:rPr>
                <w:rFonts w:hint="eastAsia" w:ascii="宋体" w:hAnsi="宋体" w:eastAsia="宋体" w:cs="宋体"/>
                <w:color w:val="auto"/>
                <w:sz w:val="21"/>
                <w:szCs w:val="21"/>
                <w:lang w:val="en-US" w:eastAsia="zh-CN"/>
              </w:rPr>
              <w:t>35000</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1.旗山校区与船政校区距离约41km。</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2.船政校区88张需要拆卸搬运至旗山校区。</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3.旗山校区44张单人床需要搬运至船政校区。</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kern w:val="0"/>
                <w:sz w:val="21"/>
                <w:szCs w:val="21"/>
              </w:rPr>
            </w:pPr>
            <w:r>
              <w:rPr>
                <w:rFonts w:hint="eastAsia" w:ascii="Times New Roman" w:hAnsi="Times New Roman" w:eastAsia="宋体" w:cs="Times New Roman"/>
                <w:b/>
                <w:bCs/>
                <w:color w:val="auto"/>
                <w:lang w:val="en-US" w:eastAsia="zh-CN"/>
              </w:rPr>
              <w:t>4.船政校区宿舍在半山腰所有搬运需要人工搬运至山脚下。</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本项目所涉及的所有费用应包括设备费、人工费、配件费、机械使用费、工具费、应急设备使用费、管理费、税费、劳保费、交通费、运输费、人身意外保险等各种补贴和福利、床铺搬运中需拆除和拆除后再恢复原样等费用及该项目相关的一切费用，以及可合理推断的责任和义务。</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0591-87600110进行审核并开放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2024年10月1</w:t>
      </w:r>
      <w:r>
        <w:rPr>
          <w:rFonts w:hint="eastAsia" w:ascii="宋体" w:hAnsi="宋体" w:cs="宋体"/>
          <w:b/>
          <w:bCs w:val="0"/>
          <w:color w:val="auto"/>
          <w:kern w:val="0"/>
          <w:szCs w:val="21"/>
          <w:lang w:val="en-US" w:eastAsia="zh-CN"/>
        </w:rPr>
        <w:t>0</w:t>
      </w:r>
      <w:r>
        <w:rPr>
          <w:rFonts w:hint="eastAsia" w:ascii="宋体" w:hAnsi="宋体" w:eastAsia="宋体" w:cs="宋体"/>
          <w:b/>
          <w:bCs w:val="0"/>
          <w:color w:val="auto"/>
          <w:kern w:val="0"/>
          <w:szCs w:val="21"/>
          <w:lang w:val="en-US" w:eastAsia="zh-CN"/>
        </w:rPr>
        <w:t>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ascii="宋体" w:hAnsi="宋体"/>
          <w:color w:val="auto"/>
          <w:kern w:val="0"/>
          <w:sz w:val="21"/>
          <w:szCs w:val="21"/>
          <w:highlight w:val="none"/>
        </w:rPr>
      </w:pPr>
      <w:r>
        <w:rPr>
          <w:rFonts w:hint="eastAsia"/>
          <w:color w:val="auto"/>
          <w:szCs w:val="21"/>
          <w:highlight w:val="none"/>
          <w:lang w:val="en-US" w:eastAsia="zh-CN"/>
        </w:rPr>
        <w:t>5、</w:t>
      </w:r>
      <w:r>
        <w:rPr>
          <w:rStyle w:val="8"/>
          <w:rFonts w:ascii="宋体" w:hAnsi="宋体"/>
          <w:color w:val="auto"/>
          <w:kern w:val="0"/>
          <w:sz w:val="21"/>
          <w:szCs w:val="21"/>
          <w:highlight w:val="none"/>
        </w:rPr>
        <w:t>有下列情形之一的，视为竞价人相互串通竞价</w:t>
      </w:r>
      <w:r>
        <w:rPr>
          <w:rStyle w:val="8"/>
          <w:rFonts w:hint="eastAsia" w:ascii="宋体" w:hAnsi="宋体"/>
          <w:color w:val="auto"/>
          <w:kern w:val="0"/>
          <w:sz w:val="21"/>
          <w:szCs w:val="21"/>
          <w:highlight w:val="none"/>
        </w:rPr>
        <w:t>，其竞价结果无效</w:t>
      </w:r>
      <w:r>
        <w:rPr>
          <w:rStyle w:val="8"/>
          <w:rFonts w:ascii="宋体" w:hAnsi="宋体"/>
          <w:color w:val="auto"/>
          <w:kern w:val="0"/>
          <w:sz w:val="21"/>
          <w:szCs w:val="21"/>
          <w:highlight w:val="none"/>
        </w:rPr>
        <w:t>:</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8"/>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700.00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rPr>
              <w:t>船政校区学员宿舍搬迁、整理项目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35000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叁万伍仟</w:t>
            </w:r>
            <w:r>
              <w:rPr>
                <w:rFonts w:hint="eastAsia" w:ascii="宋体" w:hAnsi="宋体" w:eastAsia="宋体" w:cs="宋体"/>
                <w:color w:val="auto"/>
                <w:kern w:val="0"/>
                <w:sz w:val="21"/>
                <w:szCs w:val="21"/>
                <w:lang w:eastAsia="zh-CN"/>
              </w:rPr>
              <w:t>元整（￥</w:t>
            </w:r>
            <w:r>
              <w:rPr>
                <w:rFonts w:hint="eastAsia" w:ascii="宋体" w:hAnsi="宋体" w:eastAsia="宋体" w:cs="宋体"/>
                <w:color w:val="auto"/>
                <w:sz w:val="21"/>
                <w:szCs w:val="21"/>
                <w:lang w:val="en-US" w:eastAsia="zh-CN"/>
              </w:rPr>
              <w:t>35000</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1.旗山校区与船政校区距离约41km。</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2.船政校区88张需要拆卸搬运至旗山校区。</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3.旗山校区44张单人床需要搬运至船政校区。</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kern w:val="0"/>
                <w:sz w:val="21"/>
                <w:szCs w:val="21"/>
              </w:rPr>
            </w:pPr>
            <w:r>
              <w:rPr>
                <w:rFonts w:hint="eastAsia" w:ascii="Times New Roman" w:hAnsi="Times New Roman" w:eastAsia="宋体" w:cs="Times New Roman"/>
                <w:b/>
                <w:bCs/>
                <w:color w:val="auto"/>
                <w:lang w:val="en-US" w:eastAsia="zh-CN"/>
              </w:rPr>
              <w:t>4.船政校区宿舍在半山腰所有搬运需要人工搬运至山脚下。</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本项目所涉及的所有费用应包括设备费、人工费、配件费、机械使用费、工具费、应急设备使用费、管理费、税费、劳保费、交通费、运输费、人身意外保险等各种补贴和福利、床铺搬运中需拆除和拆除后再恢复原样等费用及该项目相关的一切费用，以及可合理推断的责任和义务。</w:t>
            </w:r>
          </w:p>
        </w:tc>
      </w:tr>
    </w:tbl>
    <w:p>
      <w:pPr>
        <w:pStyle w:val="9"/>
        <w:spacing w:line="240" w:lineRule="auto"/>
        <w:ind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具体内容：</w:t>
      </w:r>
    </w:p>
    <w:tbl>
      <w:tblPr>
        <w:tblStyle w:val="6"/>
        <w:tblW w:w="9178" w:type="dxa"/>
        <w:tblInd w:w="93" w:type="dxa"/>
        <w:tblLayout w:type="fixed"/>
        <w:tblCellMar>
          <w:top w:w="0" w:type="dxa"/>
          <w:left w:w="108" w:type="dxa"/>
          <w:bottom w:w="0" w:type="dxa"/>
          <w:right w:w="108" w:type="dxa"/>
        </w:tblCellMar>
      </w:tblPr>
      <w:tblGrid>
        <w:gridCol w:w="483"/>
        <w:gridCol w:w="1527"/>
        <w:gridCol w:w="1816"/>
        <w:gridCol w:w="2499"/>
        <w:gridCol w:w="534"/>
        <w:gridCol w:w="559"/>
        <w:gridCol w:w="1760"/>
      </w:tblGrid>
      <w:tr>
        <w:tblPrEx>
          <w:tblCellMar>
            <w:top w:w="0" w:type="dxa"/>
            <w:left w:w="108" w:type="dxa"/>
            <w:bottom w:w="0" w:type="dxa"/>
            <w:right w:w="108" w:type="dxa"/>
          </w:tblCellMar>
        </w:tblPrEx>
        <w:trPr>
          <w:trHeight w:val="1028" w:hRule="atLeast"/>
        </w:trPr>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序号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项   目</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搬迁内容</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主要设备</w:t>
            </w:r>
          </w:p>
        </w:tc>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单位</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数量</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宋体"/>
                <w:b/>
                <w:bCs/>
                <w:color w:val="auto"/>
                <w:kern w:val="0"/>
                <w:sz w:val="20"/>
                <w:szCs w:val="20"/>
              </w:rPr>
            </w:pPr>
            <w:r>
              <w:rPr>
                <w:rFonts w:hint="eastAsia" w:ascii="微软雅黑" w:hAnsi="微软雅黑" w:eastAsia="微软雅黑" w:cs="宋体"/>
                <w:b/>
                <w:bCs/>
                <w:color w:val="auto"/>
                <w:kern w:val="0"/>
                <w:sz w:val="20"/>
                <w:szCs w:val="20"/>
              </w:rPr>
              <w:t>备注</w:t>
            </w:r>
          </w:p>
        </w:tc>
      </w:tr>
      <w:tr>
        <w:tblPrEx>
          <w:tblCellMar>
            <w:top w:w="0" w:type="dxa"/>
            <w:left w:w="108" w:type="dxa"/>
            <w:bottom w:w="0" w:type="dxa"/>
            <w:right w:w="108" w:type="dxa"/>
          </w:tblCellMar>
        </w:tblPrEx>
        <w:trPr>
          <w:trHeight w:val="903" w:hRule="atLeast"/>
        </w:trPr>
        <w:tc>
          <w:tcPr>
            <w:tcW w:w="483"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52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1"/>
                <w:szCs w:val="21"/>
                <w:lang w:val="en-US"/>
              </w:rPr>
              <w:t>船政校区学员宿舍搬迁、整理项目</w:t>
            </w:r>
          </w:p>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 xml:space="preserve"> </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bidi="ar"/>
              </w:rPr>
              <w:t xml:space="preserve">船政校区变电站D楼宿舍12间宿舍 </w:t>
            </w:r>
          </w:p>
        </w:tc>
        <w:tc>
          <w:tcPr>
            <w:tcW w:w="249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bidi="ar"/>
              </w:rPr>
              <w:t xml:space="preserve">48张上床下桌 </w:t>
            </w:r>
          </w:p>
        </w:tc>
        <w:tc>
          <w:tcPr>
            <w:tcW w:w="5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批</w:t>
            </w:r>
          </w:p>
        </w:tc>
        <w:tc>
          <w:tcPr>
            <w:tcW w:w="55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760" w:type="dxa"/>
            <w:vMerge w:val="restart"/>
            <w:tcBorders>
              <w:top w:val="single" w:color="auto" w:sz="4" w:space="0"/>
              <w:left w:val="single" w:color="auto" w:sz="4" w:space="0"/>
              <w:right w:val="single" w:color="auto" w:sz="4" w:space="0"/>
            </w:tcBorders>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实物详见附图1</w:t>
            </w:r>
          </w:p>
        </w:tc>
      </w:tr>
      <w:tr>
        <w:tblPrEx>
          <w:tblCellMar>
            <w:top w:w="0" w:type="dxa"/>
            <w:left w:w="108" w:type="dxa"/>
            <w:bottom w:w="0" w:type="dxa"/>
            <w:right w:w="108" w:type="dxa"/>
          </w:tblCellMar>
        </w:tblPrEx>
        <w:trPr>
          <w:trHeight w:val="429" w:hRule="atLeast"/>
        </w:trPr>
        <w:tc>
          <w:tcPr>
            <w:tcW w:w="483"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p>
        </w:tc>
        <w:tc>
          <w:tcPr>
            <w:tcW w:w="1527" w:type="dxa"/>
            <w:vMerge w:val="continue"/>
            <w:tcBorders>
              <w:top w:val="single" w:color="auto" w:sz="4" w:space="0"/>
              <w:left w:val="nil"/>
              <w:right w:val="single" w:color="auto" w:sz="4" w:space="0"/>
            </w:tcBorders>
            <w:noWrap/>
            <w:vAlign w:val="center"/>
          </w:tcPr>
          <w:p>
            <w:pPr>
              <w:widowControl/>
              <w:jc w:val="center"/>
              <w:rPr>
                <w:rFonts w:hint="eastAsia" w:ascii="宋体" w:hAnsi="宋体" w:cs="宋体"/>
                <w:color w:val="auto"/>
                <w:kern w:val="0"/>
                <w:sz w:val="20"/>
                <w:szCs w:val="20"/>
              </w:rPr>
            </w:pPr>
          </w:p>
        </w:tc>
        <w:tc>
          <w:tcPr>
            <w:tcW w:w="181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bidi="ar"/>
              </w:rPr>
              <w:t xml:space="preserve">船政校区C5后山宿舍10间宿舍 </w:t>
            </w:r>
          </w:p>
        </w:tc>
        <w:tc>
          <w:tcPr>
            <w:tcW w:w="249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bidi="ar"/>
              </w:rPr>
              <w:t xml:space="preserve">40张 上床下桌 </w:t>
            </w:r>
          </w:p>
        </w:tc>
        <w:tc>
          <w:tcPr>
            <w:tcW w:w="534" w:type="dxa"/>
            <w:vMerge w:val="continue"/>
            <w:tcBorders>
              <w:top w:val="single" w:color="auto" w:sz="4" w:space="0"/>
              <w:left w:val="nil"/>
              <w:right w:val="single" w:color="auto" w:sz="4" w:space="0"/>
            </w:tcBorders>
            <w:noWrap/>
            <w:vAlign w:val="center"/>
          </w:tcPr>
          <w:p>
            <w:pPr>
              <w:widowControl/>
              <w:jc w:val="center"/>
              <w:rPr>
                <w:rFonts w:hint="eastAsia" w:ascii="宋体" w:hAnsi="宋体" w:cs="宋体"/>
                <w:color w:val="auto"/>
                <w:kern w:val="0"/>
                <w:sz w:val="20"/>
                <w:szCs w:val="20"/>
              </w:rPr>
            </w:pPr>
          </w:p>
        </w:tc>
        <w:tc>
          <w:tcPr>
            <w:tcW w:w="559" w:type="dxa"/>
            <w:vMerge w:val="continue"/>
            <w:tcBorders>
              <w:top w:val="single" w:color="auto" w:sz="4" w:space="0"/>
              <w:left w:val="nil"/>
              <w:right w:val="single" w:color="auto" w:sz="4" w:space="0"/>
            </w:tcBorders>
            <w:noWrap/>
            <w:vAlign w:val="center"/>
          </w:tcPr>
          <w:p>
            <w:pPr>
              <w:widowControl/>
              <w:jc w:val="center"/>
              <w:rPr>
                <w:rFonts w:hint="eastAsia" w:ascii="宋体" w:hAnsi="宋体" w:cs="宋体"/>
                <w:color w:val="auto"/>
                <w:kern w:val="0"/>
                <w:sz w:val="20"/>
                <w:szCs w:val="20"/>
              </w:rPr>
            </w:pPr>
          </w:p>
        </w:tc>
        <w:tc>
          <w:tcPr>
            <w:tcW w:w="1760"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p>
        </w:tc>
      </w:tr>
      <w:tr>
        <w:tblPrEx>
          <w:tblCellMar>
            <w:top w:w="0" w:type="dxa"/>
            <w:left w:w="108" w:type="dxa"/>
            <w:bottom w:w="0" w:type="dxa"/>
            <w:right w:w="108" w:type="dxa"/>
          </w:tblCellMar>
        </w:tblPrEx>
        <w:trPr>
          <w:trHeight w:val="770" w:hRule="atLeast"/>
        </w:trPr>
        <w:tc>
          <w:tcPr>
            <w:tcW w:w="483"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p>
        </w:tc>
        <w:tc>
          <w:tcPr>
            <w:tcW w:w="1527" w:type="dxa"/>
            <w:vMerge w:val="continue"/>
            <w:tcBorders>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p>
        </w:tc>
        <w:tc>
          <w:tcPr>
            <w:tcW w:w="181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bidi="ar"/>
              </w:rPr>
              <w:t xml:space="preserve">旗山校区10#学生公寓架空层仓库 </w:t>
            </w:r>
          </w:p>
        </w:tc>
        <w:tc>
          <w:tcPr>
            <w:tcW w:w="249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bidi="ar"/>
              </w:rPr>
              <w:t>44张单人床、床单、被褥、枕头及床头柜等</w:t>
            </w:r>
          </w:p>
        </w:tc>
        <w:tc>
          <w:tcPr>
            <w:tcW w:w="534" w:type="dxa"/>
            <w:vMerge w:val="continue"/>
            <w:tcBorders>
              <w:left w:val="nil"/>
              <w:right w:val="single" w:color="auto" w:sz="4" w:space="0"/>
            </w:tcBorders>
            <w:noWrap/>
            <w:vAlign w:val="center"/>
          </w:tcPr>
          <w:p>
            <w:pPr>
              <w:widowControl/>
              <w:jc w:val="center"/>
              <w:rPr>
                <w:rFonts w:hint="eastAsia" w:ascii="宋体" w:hAnsi="宋体" w:cs="宋体"/>
                <w:color w:val="auto"/>
                <w:kern w:val="0"/>
                <w:sz w:val="20"/>
                <w:szCs w:val="20"/>
              </w:rPr>
            </w:pPr>
          </w:p>
        </w:tc>
        <w:tc>
          <w:tcPr>
            <w:tcW w:w="559" w:type="dxa"/>
            <w:vMerge w:val="continue"/>
            <w:tcBorders>
              <w:left w:val="nil"/>
              <w:right w:val="single" w:color="auto" w:sz="4" w:space="0"/>
            </w:tcBorders>
            <w:noWrap/>
            <w:vAlign w:val="center"/>
          </w:tcPr>
          <w:p>
            <w:pPr>
              <w:widowControl/>
              <w:jc w:val="center"/>
              <w:rPr>
                <w:rFonts w:hint="eastAsia" w:ascii="宋体" w:hAnsi="宋体" w:cs="宋体"/>
                <w:color w:val="auto"/>
                <w:kern w:val="0"/>
                <w:sz w:val="20"/>
                <w:szCs w:val="20"/>
              </w:rPr>
            </w:pPr>
          </w:p>
        </w:tc>
        <w:tc>
          <w:tcPr>
            <w:tcW w:w="1760" w:type="dxa"/>
            <w:tcBorders>
              <w:top w:val="single" w:color="auto" w:sz="4" w:space="0"/>
              <w:left w:val="single" w:color="auto" w:sz="4" w:space="0"/>
              <w:right w:val="single" w:color="auto" w:sz="4" w:space="0"/>
            </w:tcBorders>
            <w:noWrap/>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实物详见附图2</w:t>
            </w:r>
          </w:p>
        </w:tc>
      </w:tr>
      <w:tr>
        <w:tblPrEx>
          <w:tblCellMar>
            <w:top w:w="0" w:type="dxa"/>
            <w:left w:w="108" w:type="dxa"/>
            <w:bottom w:w="0" w:type="dxa"/>
            <w:right w:w="108" w:type="dxa"/>
          </w:tblCellMar>
        </w:tblPrEx>
        <w:trPr>
          <w:trHeight w:val="1253" w:hRule="atLeast"/>
        </w:trPr>
        <w:tc>
          <w:tcPr>
            <w:tcW w:w="483"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0"/>
                <w:szCs w:val="20"/>
              </w:rPr>
            </w:pPr>
          </w:p>
        </w:tc>
        <w:tc>
          <w:tcPr>
            <w:tcW w:w="15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rPr>
            </w:pPr>
            <w:r>
              <w:rPr>
                <w:rFonts w:hint="eastAsia" w:ascii="宋体" w:hAnsi="宋体" w:cs="宋体"/>
                <w:b/>
                <w:bCs/>
                <w:color w:val="auto"/>
                <w:kern w:val="0"/>
                <w:sz w:val="28"/>
                <w:szCs w:val="28"/>
              </w:rPr>
              <w:t>注意：</w:t>
            </w:r>
          </w:p>
        </w:tc>
        <w:tc>
          <w:tcPr>
            <w:tcW w:w="7168" w:type="dxa"/>
            <w:gridSpan w:val="5"/>
            <w:tcBorders>
              <w:top w:val="single" w:color="auto" w:sz="4" w:space="0"/>
              <w:left w:val="nil"/>
              <w:bottom w:val="single" w:color="auto" w:sz="4" w:space="0"/>
              <w:right w:val="single" w:color="auto" w:sz="4" w:space="0"/>
            </w:tcBorders>
            <w:noWrap w:val="0"/>
            <w:vAlign w:val="center"/>
          </w:tcPr>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1.旗山校区与船政校区距离约41km。</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2.船政校区88张需要拆卸搬运至旗山校区。</w:t>
            </w:r>
          </w:p>
          <w:p>
            <w:pPr>
              <w:pStyle w:val="3"/>
              <w:numPr>
                <w:ilvl w:val="0"/>
                <w:numId w:val="0"/>
              </w:numPr>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3.旗山校区44张单人床需要搬运至船政校区。</w:t>
            </w:r>
          </w:p>
          <w:p>
            <w:pPr>
              <w:pStyle w:val="3"/>
              <w:numPr>
                <w:ilvl w:val="0"/>
                <w:numId w:val="0"/>
              </w:numPr>
              <w:jc w:val="left"/>
              <w:rPr>
                <w:rFonts w:hint="default"/>
                <w:color w:val="auto"/>
                <w:lang w:val="en-US" w:eastAsia="zh-CN"/>
              </w:rPr>
            </w:pPr>
            <w:r>
              <w:rPr>
                <w:rFonts w:hint="eastAsia" w:ascii="Times New Roman" w:hAnsi="Times New Roman" w:eastAsia="宋体" w:cs="Times New Roman"/>
                <w:b/>
                <w:bCs/>
                <w:color w:val="auto"/>
                <w:lang w:val="en-US" w:eastAsia="zh-CN"/>
              </w:rPr>
              <w:t>4.船政校区宿舍在半山腰所有搬运需要人工搬运至山脚下。</w:t>
            </w:r>
          </w:p>
        </w:tc>
      </w:tr>
    </w:tbl>
    <w:p>
      <w:pPr>
        <w:pStyle w:val="9"/>
        <w:spacing w:line="240" w:lineRule="auto"/>
        <w:ind w:firstLine="422" w:firstLineChars="200"/>
        <w:rPr>
          <w:rFonts w:hint="eastAsia" w:ascii="宋体" w:hAnsi="宋体" w:eastAsia="宋体" w:cs="宋体"/>
          <w:b/>
          <w:bCs/>
          <w:color w:val="auto"/>
          <w:szCs w:val="21"/>
          <w:highlight w:val="none"/>
          <w:lang w:eastAsia="zh-CN"/>
        </w:rPr>
      </w:pPr>
    </w:p>
    <w:p>
      <w:pPr>
        <w:pStyle w:val="9"/>
        <w:spacing w:line="240" w:lineRule="auto"/>
        <w:ind w:firstLine="422" w:firstLineChars="200"/>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服务要求</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 </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1.成交人未按照采购人要求在床铺搬迁中采取有效保护措施：对采购人需搬迁的所有床铺提出搬迁保护计划并经批准后实施，对于任何搬迁过程中导致的床铺损坏，由成交人负责解决和承担费用。</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2.搬迁过程中，若出现损坏、不牢固等情况、成交人要负责维修修复、达到安全使用状态。</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3.赔偿问题成交人应当将搬迁物品顺利搬迁到指定地点并安装调试，确保正常使用，若出现破损问题须按照出厂中标价赔偿。</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4.安全问题，本项目在搬运过程中所有和安全有关的相关事宜，均由成交人自行负责。</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2、交付时间：成交通知书发出后7天内完成。</w:t>
      </w:r>
    </w:p>
    <w:p>
      <w:pPr>
        <w:pStyle w:val="10"/>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spacing w:line="24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付款方式：经验收合格后，15个工作日内以 转账方式向供应商一次性支付100% 的设备搬迁款项。</w:t>
      </w:r>
    </w:p>
    <w:p>
      <w:pPr>
        <w:pStyle w:val="9"/>
        <w:spacing w:line="24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.2付款条件：</w:t>
      </w:r>
      <w:r>
        <w:rPr>
          <w:rFonts w:hint="eastAsia" w:ascii="宋体" w:hAnsi="宋体" w:eastAsia="宋体" w:cs="宋体"/>
          <w:color w:val="auto"/>
          <w:sz w:val="21"/>
          <w:szCs w:val="21"/>
          <w:highlight w:val="none"/>
        </w:rPr>
        <w:t>金额为有关合同货物价格100%的正式发票。</w:t>
      </w:r>
    </w:p>
    <w:p>
      <w:pPr>
        <w:pageBreakBefore w:val="0"/>
        <w:kinsoku/>
        <w:wordWrap/>
        <w:overflowPunct/>
        <w:topLinePunct w:val="0"/>
        <w:bidi w:val="0"/>
        <w:adjustRightInd/>
        <w:snapToGrid/>
        <w:spacing w:line="240" w:lineRule="auto"/>
        <w:ind w:left="481"/>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4.违约责任</w:t>
      </w:r>
    </w:p>
    <w:p>
      <w:pPr>
        <w:spacing w:line="240" w:lineRule="auto"/>
        <w:ind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default" w:ascii="宋体" w:hAnsi="宋体" w:eastAsia="宋体" w:cs="宋体"/>
          <w:b/>
          <w:bCs/>
          <w:color w:val="auto"/>
          <w:sz w:val="21"/>
          <w:szCs w:val="21"/>
          <w:lang w:val="en-US" w:eastAsia="zh-CN"/>
        </w:rPr>
        <w:t>1.未按采购人下达的工期节点完成，每天扣除1000元标准，采购人从成交金额中扣除违约金，并责令整改到位。</w:t>
      </w:r>
    </w:p>
    <w:p>
      <w:pPr>
        <w:spacing w:line="240" w:lineRule="auto"/>
        <w:ind w:firstLine="422" w:firstLineChars="20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default" w:ascii="宋体" w:hAnsi="宋体" w:eastAsia="宋体" w:cs="宋体"/>
          <w:b/>
          <w:bCs/>
          <w:color w:val="auto"/>
          <w:sz w:val="21"/>
          <w:szCs w:val="21"/>
          <w:lang w:val="en-US" w:eastAsia="zh-CN"/>
        </w:rPr>
        <w:t>2.工人不服从采购人管理的每人次扣除150元标准，采购人从成交金额中扣除违约金，并责令整改到位。</w:t>
      </w:r>
    </w:p>
    <w:p>
      <w:pPr>
        <w:tabs>
          <w:tab w:val="left" w:pos="900"/>
          <w:tab w:val="left" w:pos="1100"/>
        </w:tabs>
        <w:spacing w:line="240" w:lineRule="auto"/>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、验收要求：</w:t>
      </w:r>
    </w:p>
    <w:p>
      <w:pPr>
        <w:tabs>
          <w:tab w:val="left" w:pos="900"/>
          <w:tab w:val="left" w:pos="1100"/>
        </w:tabs>
        <w:spacing w:line="240" w:lineRule="auto"/>
        <w:ind w:firstLine="413" w:firstLineChars="196"/>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中标人按照要求搬迁、整理设备，采购人在收到成交人的验收申请后15 个工作日内，采购人和成交人共同进行项目的验收。采购人将按照技术、服务、安全标准组织对成交人履约情况进行验收，并出具验收书。</w:t>
      </w:r>
    </w:p>
    <w:p>
      <w:pPr>
        <w:tabs>
          <w:tab w:val="left" w:pos="900"/>
          <w:tab w:val="left" w:pos="1100"/>
        </w:tabs>
        <w:spacing w:line="240" w:lineRule="auto"/>
        <w:ind w:firstLine="413" w:firstLineChars="196"/>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其他要求：</w:t>
      </w:r>
    </w:p>
    <w:p>
      <w:pPr>
        <w:tabs>
          <w:tab w:val="left" w:pos="900"/>
          <w:tab w:val="left" w:pos="1100"/>
        </w:tabs>
        <w:spacing w:line="240" w:lineRule="auto"/>
        <w:ind w:firstLine="413" w:firstLineChars="196"/>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6.1.若成交人出现违约行为，服务质量差、未履行合同等问题，学校有权根据合约具体条款进行处罚，严重情况下可解除合约。</w:t>
      </w:r>
    </w:p>
    <w:p>
      <w:pPr>
        <w:tabs>
          <w:tab w:val="left" w:pos="900"/>
          <w:tab w:val="left" w:pos="1100"/>
        </w:tabs>
        <w:spacing w:line="240" w:lineRule="auto"/>
        <w:ind w:firstLine="413" w:firstLineChars="196"/>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6.2.成交人在搬迁过程期间，由于成交人的工作人员自身原因，发生受伤、死亡事故，由成交人自负。</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7、不可抗力事件处理</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8、解决争议的方法</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8.1采购人、成交人双方协商解决。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8.2若协商解决不成，则通过下列途径解决：</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向采购人所在地人民法院提起诉讼，具体如下：因本合同或与本合同有关的一切事项发生争议，由双方友好协商解决。协商不成的，任何一方均可向采购人所在地有管辖权的人民法院提起诉讼。</w:t>
      </w:r>
      <w:r>
        <w:rPr>
          <w:rFonts w:hint="eastAsia" w:ascii="宋体" w:hAnsi="宋体" w:eastAsia="宋体" w:cs="宋体"/>
          <w:b/>
          <w:bCs/>
          <w:color w:val="auto"/>
          <w:kern w:val="0"/>
          <w:sz w:val="21"/>
          <w:szCs w:val="21"/>
          <w:highlight w:val="none"/>
          <w:lang w:val="en-US" w:eastAsia="zh-CN"/>
        </w:rPr>
        <w:t xml:space="preserve"> </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9</w:t>
      </w:r>
      <w:r>
        <w:rPr>
          <w:rFonts w:hint="eastAsia" w:ascii="宋体" w:hAnsi="宋体" w:cs="宋体"/>
          <w:b/>
          <w:color w:val="auto"/>
          <w:kern w:val="0"/>
          <w:szCs w:val="21"/>
        </w:rPr>
        <w:t>月</w:t>
      </w:r>
      <w:r>
        <w:rPr>
          <w:rFonts w:hint="eastAsia" w:ascii="宋体" w:hAnsi="宋体" w:cs="宋体"/>
          <w:b/>
          <w:color w:val="auto"/>
          <w:kern w:val="0"/>
          <w:szCs w:val="21"/>
          <w:lang w:val="en-US" w:eastAsia="zh-CN"/>
        </w:rPr>
        <w:t>29</w:t>
      </w:r>
      <w:r>
        <w:rPr>
          <w:rFonts w:hint="eastAsia" w:ascii="宋体" w:hAnsi="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5304A"/>
    <w:rsid w:val="0F652983"/>
    <w:rsid w:val="1D415F36"/>
    <w:rsid w:val="7195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Indent"/>
    <w:basedOn w:val="1"/>
    <w:next w:val="4"/>
    <w:qFormat/>
    <w:uiPriority w:val="0"/>
    <w:pPr>
      <w:ind w:firstLine="420" w:firstLineChars="200"/>
    </w:pPr>
  </w:style>
  <w:style w:type="paragraph" w:styleId="4">
    <w:name w:val="Body Text Indent"/>
    <w:basedOn w:val="1"/>
    <w:next w:val="3"/>
    <w:uiPriority w:val="0"/>
    <w:pPr>
      <w:spacing w:after="120"/>
      <w:ind w:left="420" w:leftChars="200"/>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2024-09-29T01:28:00Z</dcterms:created>
  <dc:creator>Administrator</dc:creator>
  <cp:lastModifiedBy>XH.H</cp:lastModifiedBy>
  <dcterms:modified xsi:type="dcterms:W3CDTF">2024-09-29T02:28:09Z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175FDA3C35894AAAA5FAAF4B093787FC</vt:lpwstr>
  </property>
</Properties>
</file>