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pacing w:val="-20"/>
          <w:w w:val="80"/>
          <w:sz w:val="84"/>
          <w:szCs w:val="84"/>
        </w:rPr>
      </w:pPr>
    </w:p>
    <w:p>
      <w:pPr>
        <w:pStyle w:val="2"/>
        <w:spacing w:before="0" w:beforeAutospacing="0" w:after="0" w:afterAutospacing="0"/>
        <w:jc w:val="center"/>
        <w:rPr>
          <w:rFonts w:hint="eastAsia" w:ascii="华文中宋" w:hAnsi="华文中宋" w:eastAsia="华文中宋"/>
          <w:b/>
          <w:color w:val="FF0000"/>
          <w:spacing w:val="-20"/>
          <w:w w:val="80"/>
          <w:sz w:val="84"/>
          <w:szCs w:val="84"/>
        </w:rPr>
      </w:pPr>
      <w:r>
        <w:rPr>
          <w:rFonts w:ascii="华文中宋" w:hAnsi="华文中宋" w:eastAsia="华文中宋"/>
          <w:b/>
          <w:color w:val="FF0000"/>
          <w:spacing w:val="-20"/>
          <w:w w:val="80"/>
          <w:sz w:val="84"/>
          <w:szCs w:val="84"/>
        </w:rPr>
        <w:t>福州职业技术学院</w:t>
      </w:r>
      <w:r>
        <w:rPr>
          <w:rFonts w:hint="eastAsia" w:ascii="华文中宋" w:hAnsi="华文中宋" w:eastAsia="华文中宋"/>
          <w:b/>
          <w:color w:val="FF0000"/>
          <w:spacing w:val="-20"/>
          <w:w w:val="80"/>
          <w:sz w:val="84"/>
          <w:szCs w:val="84"/>
        </w:rPr>
        <w:t>学生工作处</w:t>
      </w:r>
    </w:p>
    <w:p>
      <w:pPr>
        <w:spacing w:line="580" w:lineRule="exact"/>
        <w:ind w:firstLine="2500" w:firstLineChars="2500"/>
        <w:rPr>
          <w:rFonts w:hint="eastAsia" w:ascii="仿宋_GB2312"/>
          <w:sz w:val="10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392430</wp:posOffset>
                </wp:positionV>
                <wp:extent cx="560070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30.9pt;height:0.15pt;width:441pt;z-index:251658240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/LtqdcAAAAIAQAADwAA&#10;AAAAAAABACAAAAAiAAAAZHJzL2Rvd25yZXYueG1sUEsBAhQAFAAAAAgAh07iQFnlH8beAQAAmg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榕职院学〔201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关于选拔参加中印尼、中菲、中马、中新青年</w:t>
      </w:r>
    </w:p>
    <w:p>
      <w:pPr>
        <w:jc w:val="center"/>
        <w:rPr>
          <w:rFonts w:hint="eastAsia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互访交流游学活动候选学生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</w:rPr>
        <w:t>为落实好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eastAsia="zh-CN"/>
        </w:rPr>
        <w:t>福建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</w:rPr>
        <w:t>省对印尼、菲律宾、马来西亚、新加坡四国的友好工作，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根据《福建省人民政府外事办公室关于选派参加中印尼、中菲、中马、中新青年互访交流游学活动候选学生的通知》（闽政外交〔201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〕5号）要求，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学校将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推荐10名优秀学生作为中印尼、中菲、中马、中新青年互访交流游学活动候选学生，参加省政府外事办组织的面试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一、选拔范围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大二、大三学生（不含特殊教育学院学生）。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1.全日制在读学生，专业不限。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政治可靠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，品学兼优。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3.具有一定国际视野，英语等级至少达到B级，熟练掌握英语表达能力。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4.具有一定才艺。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1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color w:val="auto"/>
          <w:kern w:val="1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kern w:val="1"/>
          <w:sz w:val="28"/>
          <w:szCs w:val="28"/>
          <w:lang w:eastAsia="zh-CN"/>
        </w:rPr>
        <w:t>校内报名、选拔程序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1.学生工作处</w:t>
      </w:r>
      <w:r>
        <w:rPr>
          <w:rFonts w:hint="eastAsia" w:ascii="仿宋" w:hAnsi="仿宋" w:eastAsia="仿宋"/>
          <w:color w:val="auto"/>
          <w:sz w:val="28"/>
          <w:szCs w:val="28"/>
        </w:rPr>
        <w:t>负责组织各二级学院做好互访交流游学活动候选学生的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报名选拔推荐</w:t>
      </w:r>
      <w:r>
        <w:rPr>
          <w:rFonts w:hint="eastAsia" w:ascii="仿宋" w:hAnsi="仿宋" w:eastAsia="仿宋"/>
          <w:color w:val="auto"/>
          <w:sz w:val="28"/>
          <w:szCs w:val="28"/>
        </w:rPr>
        <w:t>工作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各二级学院组织学生于2019年1月23日-24日报名，选拔至少5名学生，二级学院审核后于2月25日前将推荐名单（附件1）报送至国际教育学院。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2.国际教育学院根据各二级学院推荐名单于2019年2月26日中午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13点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组织校内选拔（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面试地点：综合楼二楼234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。并根据面试情况提出候选学生名单。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3.由外事分管领导召集相关部门人员召开资格审查推荐会，研究提出推荐名单。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4.校长办公室将校级推荐名单提交校外事领导小组审定后，于2019年2月28日报福建省人民政府外事办公室。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5.福建省人民政府外事办公室将于2019年3月7日对我校学生进行面试。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四、选拔方式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  <w:t>参加选拔学生需</w:t>
      </w:r>
      <w:r>
        <w:rPr>
          <w:rFonts w:hint="eastAsia" w:ascii="仿宋" w:hAnsi="仿宋" w:eastAsia="仿宋"/>
          <w:color w:val="auto"/>
          <w:sz w:val="28"/>
          <w:szCs w:val="28"/>
        </w:rPr>
        <w:t>提交一篇独立撰写的相关主题英语文章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（根据附件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2三个主题任选其一，不少于500字）。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面试将分为3个环节(时间约5分钟/人)：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每个学生进行1分钟左右自我介绍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（含才艺展示，书法等才艺可携带作品参加面试）。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每个学生开展2-3分钟自由命题英文演讲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面试官与学生问答环节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面试结果将于面试结束当天公布，此次选拔以面试成绩为主，参考学生自撰的英语文章质量。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五、活动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学生参加游学活动期间的一切费用由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我省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和我驻印尼、菲律宾、马来西亚使馆、新加坡驻厦门总领馆分别共同承担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各二级学院要</w:t>
      </w:r>
      <w:r>
        <w:rPr>
          <w:rFonts w:hint="eastAsia" w:ascii="仿宋" w:hAnsi="仿宋" w:eastAsia="仿宋"/>
          <w:color w:val="auto"/>
          <w:sz w:val="28"/>
          <w:szCs w:val="28"/>
        </w:rPr>
        <w:t>积极发动和推荐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优秀</w:t>
      </w:r>
      <w:r>
        <w:rPr>
          <w:rFonts w:hint="eastAsia" w:ascii="仿宋" w:hAnsi="仿宋" w:eastAsia="仿宋"/>
          <w:color w:val="auto"/>
          <w:sz w:val="28"/>
          <w:szCs w:val="28"/>
        </w:rPr>
        <w:t>学生参加本次活动，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并认真做好推荐学生审核工作，把握时间节点，及时提交推荐学生名单。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 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福州职业技术学院</w:t>
      </w:r>
      <w:r>
        <w:rPr>
          <w:rFonts w:hint="eastAsia" w:ascii="仿宋" w:hAnsi="仿宋" w:eastAsia="仿宋" w:cs="仿宋"/>
          <w:sz w:val="28"/>
          <w:szCs w:val="28"/>
        </w:rPr>
        <w:t>交流游学活动候选学生报名表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英语文章主题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福州职业技术学院学生工作处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2019年2月23日</w:t>
      </w: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109220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8.6pt;height:0pt;width:442.4pt;z-index:251661312;mso-width-relative:page;mso-height-relative:page;" filled="f" stroked="t" coordsize="21600,21600" o:gfxdata="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VV69cAAAAJAQAADwAAAAAA&#10;AAABACAAAAAiAAAAZHJzL2Rvd25yZXYueG1sUEsBAhQAFAAAAAgAh07iQK0q1HvbAQAAlwMAAA4A&#10;AAAAAAAAAQAgAAAAJgEAAGRycy9lMm9Eb2MueG1sUEsFBgAAAAAGAAYAWQEAAHM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福州职业技术学院学生工作处             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102870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8.1pt;height:0pt;width:442.4pt;z-index:251660288;mso-width-relative:page;mso-height-relative:page;" filled="f" stroked="t" coordsize="21600,21600" o:gfxdata="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snCDtcAAAAJAQAADwAAAAAA&#10;AAABACAAAAAiAAAAZHJzL2Rvd25yZXYueG1sUEsBAhQAFAAAAAgAh07iQDRuCRHbAQAAlwMAAA4A&#10;AAAAAAAAAQAgAAAAJgEAAGRycy9lMm9Eb2MueG1sUEsFBgAAAAAGAAYAWQEAAHM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福州职业技术学院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交流游学活动候选学生报名表</w:t>
      </w:r>
    </w:p>
    <w:p>
      <w:pPr>
        <w:ind w:firstLine="1400" w:firstLineChars="5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学院（章）：</w:t>
      </w:r>
    </w:p>
    <w:tbl>
      <w:tblPr>
        <w:tblStyle w:val="4"/>
        <w:tblW w:w="12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66"/>
        <w:gridCol w:w="1094"/>
        <w:gridCol w:w="842"/>
        <w:gridCol w:w="1451"/>
        <w:gridCol w:w="1689"/>
        <w:gridCol w:w="1043"/>
        <w:gridCol w:w="920"/>
        <w:gridCol w:w="863"/>
        <w:gridCol w:w="1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学院、班级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英语水平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1960" w:firstLineChars="7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学院领导：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经办人：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英语文章主题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你如何看待中国与东盟国家关系？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How do you think of the relations between China and ASEAN countries?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你对中国与东盟东部增长区未来的合作有何建议？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What suggestions would you give regarding China and BIMP-EAGA’s future cooperation?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中国和东盟国家在“海丝”核心区建设中应该如何加强合作？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3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How can China and ASEAN countries enhance cooperation in building the core area of the 21st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Century Maritime Silk Road?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6CB"/>
    <w:multiLevelType w:val="multilevel"/>
    <w:tmpl w:val="0E9C36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7DF9"/>
    <w:rsid w:val="0098294B"/>
    <w:rsid w:val="15B27ABB"/>
    <w:rsid w:val="223C204F"/>
    <w:rsid w:val="41B739E7"/>
    <w:rsid w:val="4C422235"/>
    <w:rsid w:val="53FE399B"/>
    <w:rsid w:val="58697DF9"/>
    <w:rsid w:val="67273931"/>
    <w:rsid w:val="6807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5"/>
    <w:uiPriority w:val="0"/>
    <w:rPr>
      <w:color w:val="262626"/>
      <w:sz w:val="18"/>
      <w:szCs w:val="18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2019-02-23T03:14:00Z</dcterms:created>
  <dc:creator>欧滴密</dc:creator>
  <cp:lastModifiedBy>卖女孩的火柴</cp:lastModifiedBy>
  <cp:lastPrinted>2019-02-23T08:00:00Z</cp:lastPrinted>
  <dcterms:modified xsi:type="dcterms:W3CDTF">2019-03-21T07:57:09Z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