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cs="宋体"/>
          <w:color w:val="auto"/>
          <w:sz w:val="21"/>
          <w:szCs w:val="21"/>
          <w:lang w:val="en-US" w:eastAsia="zh-CN"/>
        </w:rPr>
      </w:pPr>
      <w:bookmarkStart w:id="0" w:name="_Toc3261"/>
      <w:bookmarkStart w:id="1" w:name="_Toc6176"/>
      <w:r>
        <w:rPr>
          <w:rFonts w:hint="eastAsia" w:ascii="宋体" w:hAnsi="宋体" w:eastAsia="宋体" w:cs="宋体"/>
          <w:color w:val="auto"/>
          <w:sz w:val="21"/>
          <w:szCs w:val="21"/>
        </w:rPr>
        <w:t>福州职业技术学院柜式七氟丙烷消防报警控制系统采购项目</w:t>
      </w:r>
      <w:r>
        <w:rPr>
          <w:rFonts w:hint="eastAsia" w:ascii="宋体" w:hAnsi="宋体" w:cs="宋体"/>
          <w:color w:val="auto"/>
          <w:sz w:val="21"/>
          <w:szCs w:val="21"/>
          <w:lang w:val="en-US" w:eastAsia="zh-CN"/>
        </w:rPr>
        <w:t>竞价公告（</w:t>
      </w:r>
      <w:bookmarkStart w:id="11" w:name="_GoBack"/>
      <w:bookmarkEnd w:id="11"/>
      <w:r>
        <w:rPr>
          <w:rFonts w:hint="eastAsia" w:ascii="宋体" w:hAnsi="宋体" w:cs="宋体"/>
          <w:color w:val="auto"/>
          <w:sz w:val="21"/>
          <w:szCs w:val="21"/>
          <w:lang w:val="en-US" w:eastAsia="zh-CN"/>
        </w:rPr>
        <w:t>竞价编号：FJSXWJ2024017）</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第一部分  </w:t>
      </w:r>
      <w:r>
        <w:rPr>
          <w:rFonts w:hint="eastAsia" w:ascii="宋体" w:hAnsi="宋体" w:eastAsia="宋体" w:cs="宋体"/>
          <w:b/>
          <w:bCs/>
          <w:color w:val="auto"/>
          <w:szCs w:val="21"/>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eastAsia="宋体" w:cs="宋体"/>
          <w:b/>
          <w:bCs/>
          <w:color w:val="auto"/>
          <w:sz w:val="21"/>
          <w:szCs w:val="21"/>
        </w:rPr>
      </w:pPr>
      <w:bookmarkStart w:id="3" w:name="_Toc23474"/>
      <w:r>
        <w:rPr>
          <w:rFonts w:hint="eastAsia" w:ascii="宋体" w:hAnsi="宋体" w:eastAsia="宋体" w:cs="宋体"/>
          <w:b/>
          <w:bCs/>
          <w:color w:val="auto"/>
          <w:sz w:val="21"/>
          <w:szCs w:val="21"/>
        </w:rPr>
        <w:t>一、网上竞价邀请函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受福州职业技术学院委托</w:t>
      </w:r>
      <w:r>
        <w:rPr>
          <w:rFonts w:hint="eastAsia" w:ascii="宋体" w:hAnsi="宋体" w:eastAsia="宋体" w:cs="宋体"/>
          <w:color w:val="auto"/>
          <w:kern w:val="0"/>
          <w:sz w:val="21"/>
          <w:szCs w:val="21"/>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竞价编号：FJSXW</w:t>
      </w:r>
      <w:r>
        <w:rPr>
          <w:rFonts w:hint="eastAsia" w:ascii="宋体" w:hAnsi="宋体" w:eastAsia="宋体" w:cs="宋体"/>
          <w:color w:val="auto"/>
          <w:sz w:val="21"/>
          <w:szCs w:val="21"/>
          <w:lang w:val="en-US" w:eastAsia="zh-CN"/>
        </w:rPr>
        <w:t>J</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4017</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项目名称：福州职业技术学院柜式七氟丙烷消防报警控制系统采购项目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货物名称、交货期及主要技术规格详见竞价内容及要求“竞价</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4.报名起止时间：20</w:t>
      </w:r>
      <w:r>
        <w:rPr>
          <w:rFonts w:hint="eastAsia" w:ascii="宋体" w:hAnsi="宋体" w:eastAsia="宋体" w:cs="宋体"/>
          <w:b/>
          <w:bCs/>
          <w:color w:val="auto"/>
          <w:sz w:val="21"/>
          <w:szCs w:val="21"/>
          <w:lang w:val="en-US" w:eastAsia="zh-CN"/>
        </w:rPr>
        <w:t>24</w:t>
      </w:r>
      <w:r>
        <w:rPr>
          <w:rFonts w:hint="eastAsia" w:ascii="宋体" w:hAnsi="宋体" w:eastAsia="宋体" w:cs="宋体"/>
          <w:b/>
          <w:bCs/>
          <w:color w:val="auto"/>
          <w:sz w:val="21"/>
          <w:szCs w:val="21"/>
        </w:rPr>
        <w:t>年10月30 日9：00-2024年11月1日17:00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5.竞价起止时间：202</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日</w:t>
      </w: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:00-1</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:00</w:t>
      </w:r>
      <w:r>
        <w:rPr>
          <w:rFonts w:hint="eastAsia" w:ascii="宋体" w:hAnsi="宋体" w:eastAsia="宋体" w:cs="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6．网上竞价招标文件售价为</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请</w:t>
      </w:r>
      <w:r>
        <w:rPr>
          <w:rFonts w:hint="eastAsia" w:ascii="宋体" w:hAnsi="宋体" w:eastAsia="宋体" w:cs="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eastAsia="宋体" w:cs="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杨老师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联系电话：18050279</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16</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  址：福州市鼓楼区鼓东街道湖东路79号外运大厦七层</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  话：0591-</w:t>
      </w:r>
      <w:r>
        <w:rPr>
          <w:rFonts w:hint="eastAsia" w:ascii="宋体" w:hAnsi="宋体" w:eastAsia="宋体" w:cs="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lang w:val="en-US" w:eastAsia="zh-CN"/>
        </w:rPr>
        <w:t>1051874670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qq</w:t>
      </w:r>
      <w:r>
        <w:rPr>
          <w:rFonts w:hint="eastAsia" w:ascii="宋体" w:hAnsi="宋体" w:eastAsia="宋体" w:cs="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9、竞价</w:t>
      </w:r>
      <w:r>
        <w:rPr>
          <w:rFonts w:hint="eastAsia" w:ascii="宋体" w:hAnsi="宋体" w:eastAsia="宋体" w:cs="宋体"/>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Cs w:val="21"/>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eastAsia="宋体" w:cs="宋体"/>
          <w:b/>
          <w:bCs/>
          <w:color w:val="auto"/>
          <w:szCs w:val="21"/>
        </w:rPr>
      </w:pPr>
      <w:bookmarkStart w:id="5" w:name="_Toc28461"/>
      <w:r>
        <w:rPr>
          <w:rFonts w:hint="eastAsia" w:ascii="宋体" w:hAnsi="宋体" w:eastAsia="宋体" w:cs="宋体"/>
          <w:b/>
          <w:bCs/>
          <w:color w:val="auto"/>
          <w:szCs w:val="21"/>
          <w:lang w:eastAsia="zh-CN"/>
        </w:rPr>
        <w:t>二、</w:t>
      </w:r>
      <w:r>
        <w:rPr>
          <w:rFonts w:hint="eastAsia" w:ascii="宋体" w:hAnsi="宋体" w:eastAsia="宋体" w:cs="宋体"/>
          <w:b/>
          <w:bCs/>
          <w:color w:val="auto"/>
          <w:szCs w:val="21"/>
        </w:rPr>
        <w:t>竞价</w:t>
      </w:r>
      <w:r>
        <w:rPr>
          <w:rFonts w:hint="eastAsia" w:ascii="宋体" w:hAnsi="宋体" w:eastAsia="宋体" w:cs="宋体"/>
          <w:b/>
          <w:bCs/>
          <w:color w:val="auto"/>
          <w:szCs w:val="21"/>
          <w:lang w:eastAsia="zh-CN"/>
        </w:rPr>
        <w:t>采购</w:t>
      </w:r>
      <w:r>
        <w:rPr>
          <w:rFonts w:hint="eastAsia" w:ascii="宋体" w:hAnsi="宋体" w:eastAsia="宋体" w:cs="宋体"/>
          <w:b/>
          <w:bCs/>
          <w:color w:val="auto"/>
          <w:szCs w:val="21"/>
        </w:rPr>
        <w:t>一览表</w:t>
      </w:r>
      <w:bookmarkEnd w:id="4"/>
      <w:bookmarkEnd w:id="5"/>
    </w:p>
    <w:tbl>
      <w:tblPr>
        <w:tblStyle w:val="5"/>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bookmarkStart w:id="6" w:name="_Toc140400460"/>
            <w:bookmarkStart w:id="7" w:name="_Toc140042883"/>
            <w:bookmarkStart w:id="8" w:name="_Toc385840944"/>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品目</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柜式七氟丙烷消防报警控制系统采购项目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70000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70000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柒万元</w:t>
            </w:r>
            <w:r>
              <w:rPr>
                <w:rFonts w:hint="eastAsia" w:ascii="宋体" w:hAnsi="宋体" w:eastAsia="宋体" w:cs="宋体"/>
                <w:color w:val="auto"/>
                <w:kern w:val="0"/>
                <w:sz w:val="21"/>
                <w:szCs w:val="21"/>
                <w:lang w:eastAsia="zh-CN"/>
              </w:rPr>
              <w:t>整（￥</w:t>
            </w:r>
            <w:r>
              <w:rPr>
                <w:rFonts w:hint="eastAsia" w:ascii="宋体" w:hAnsi="宋体" w:eastAsia="宋体" w:cs="宋体"/>
                <w:color w:val="auto"/>
                <w:kern w:val="0"/>
                <w:sz w:val="21"/>
                <w:szCs w:val="21"/>
                <w:lang w:val="en-US" w:eastAsia="zh-CN"/>
              </w:rPr>
              <w:t>70000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pStyle w:val="2"/>
              <w:numPr>
                <w:ilvl w:val="0"/>
                <w:numId w:val="0"/>
              </w:numPr>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2"/>
              <w:numPr>
                <w:ilvl w:val="0"/>
                <w:numId w:val="0"/>
              </w:numPr>
              <w:ind w:left="0" w:leftChars="0" w:firstLine="0" w:firstLineChars="0"/>
              <w:rPr>
                <w:rFonts w:hint="default" w:ascii="宋体" w:hAnsi="宋体" w:eastAsia="宋体" w:cs="宋体"/>
                <w:b/>
                <w:bCs/>
                <w:color w:val="auto"/>
                <w:sz w:val="21"/>
                <w:szCs w:val="24"/>
                <w:highlight w:val="none"/>
                <w:lang w:val="en-US" w:eastAsia="zh-CN"/>
              </w:rPr>
            </w:pP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eastAsia="zh-CN"/>
        </w:rPr>
        <w:t>三</w:t>
      </w:r>
      <w:r>
        <w:rPr>
          <w:rFonts w:hint="eastAsia" w:ascii="宋体" w:hAnsi="宋体" w:eastAsia="宋体" w:cs="宋体"/>
          <w:b/>
          <w:bCs w:val="0"/>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1、有能力提供本竞价文件所述货物及服务的法人、其他组织或者自然人均可能成为合格的竞价人，并提供有效的营业执照复印件或其他相应的证明文件。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4"/>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1、本次采购的服务为</w:t>
      </w:r>
      <w:r>
        <w:rPr>
          <w:rFonts w:hint="eastAsia" w:ascii="宋体" w:hAnsi="宋体" w:eastAsia="宋体" w:cs="宋体"/>
          <w:b/>
          <w:bCs/>
          <w:color w:val="auto"/>
          <w:sz w:val="21"/>
          <w:szCs w:val="21"/>
          <w:highlight w:val="none"/>
          <w:lang w:val="en-US" w:eastAsia="zh-CN"/>
        </w:rPr>
        <w:t>国内</w:t>
      </w:r>
      <w:r>
        <w:rPr>
          <w:rFonts w:hint="eastAsia" w:ascii="宋体" w:hAnsi="宋体" w:eastAsia="宋体" w:cs="宋体"/>
          <w:b/>
          <w:bCs/>
          <w:color w:val="auto"/>
          <w:sz w:val="21"/>
          <w:szCs w:val="21"/>
          <w:highlight w:val="none"/>
        </w:rPr>
        <w:t>供</w:t>
      </w:r>
      <w:r>
        <w:rPr>
          <w:rFonts w:hint="eastAsia" w:ascii="宋体" w:hAnsi="宋体" w:eastAsia="宋体" w:cs="宋体"/>
          <w:b/>
          <w:bCs/>
          <w:color w:val="auto"/>
          <w:sz w:val="21"/>
          <w:szCs w:val="21"/>
          <w:highlight w:val="none"/>
          <w:lang w:val="en-US" w:eastAsia="zh-Hans"/>
        </w:rPr>
        <w:t>应</w:t>
      </w:r>
      <w:r>
        <w:rPr>
          <w:rFonts w:hint="eastAsia" w:ascii="宋体" w:hAnsi="宋体" w:eastAsia="宋体" w:cs="宋体"/>
          <w:b/>
          <w:bCs/>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2、单位负责人为同一人或者存在直接控股、管理关系的不同</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color w:val="auto"/>
          <w:sz w:val="21"/>
          <w:szCs w:val="21"/>
          <w:highlight w:val="none"/>
          <w:shd w:val="pct10" w:color="auto" w:fill="FFFFFF"/>
        </w:rPr>
      </w:pPr>
      <w:r>
        <w:rPr>
          <w:rFonts w:hint="eastAsia" w:ascii="宋体" w:hAnsi="宋体" w:eastAsia="宋体" w:cs="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eastAsia="宋体" w:cs="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在网上竞价截止时间前电子报价文件应按上述要求上传相关材料，未按此要求的，将被视为无效报价文件。电子报价文档具法律效力。</w:t>
      </w:r>
    </w:p>
    <w:p>
      <w:pPr>
        <w:widowControl/>
        <w:ind w:firstLine="422" w:firstLineChars="200"/>
        <w:jc w:val="left"/>
        <w:rPr>
          <w:rFonts w:hint="eastAsia" w:ascii="宋体" w:hAnsi="宋体" w:eastAsia="宋体" w:cs="宋体"/>
          <w:color w:val="auto"/>
          <w:sz w:val="21"/>
          <w:szCs w:val="24"/>
          <w:highlight w:val="none"/>
        </w:rPr>
      </w:pPr>
      <w:r>
        <w:rPr>
          <w:rFonts w:hint="eastAsia" w:ascii="宋体" w:hAnsi="宋体" w:eastAsia="宋体" w:cs="宋体"/>
          <w:b/>
          <w:bCs/>
          <w:color w:val="auto"/>
          <w:kern w:val="0"/>
          <w:sz w:val="21"/>
          <w:szCs w:val="21"/>
          <w:highlight w:val="none"/>
        </w:rPr>
        <w:t>在网上竞价截止时间前上传电子报价文件内容</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2024年11月4日9:00-11:00（北京时间）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1、网上竞价公告期满，福建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招标代理有限公司以书面方式通知采购人。同时将成交结果信息在中国政府采购网(http://www.ccgp.gov.cn/)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招标代理有限公司竞价平台（http://www.fj</w:t>
      </w:r>
      <w:r>
        <w:rPr>
          <w:rFonts w:hint="eastAsia" w:ascii="宋体" w:hAnsi="宋体" w:eastAsia="宋体" w:cs="宋体"/>
          <w:color w:val="auto"/>
          <w:sz w:val="21"/>
          <w:szCs w:val="21"/>
          <w:highlight w:val="none"/>
          <w:lang w:val="en-US" w:eastAsia="zh-CN"/>
        </w:rPr>
        <w:t>s</w:t>
      </w:r>
      <w:r>
        <w:rPr>
          <w:rFonts w:hint="eastAsia" w:ascii="宋体" w:hAnsi="宋体" w:eastAsia="宋体" w:cs="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2、网上竞价公告期满，若无</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家（含）</w:t>
      </w:r>
      <w:r>
        <w:rPr>
          <w:rFonts w:hint="eastAsia" w:ascii="宋体" w:hAnsi="宋体" w:eastAsia="宋体" w:cs="宋体"/>
          <w:b/>
          <w:bCs/>
          <w:color w:val="auto"/>
          <w:sz w:val="21"/>
          <w:szCs w:val="21"/>
          <w:highlight w:val="none"/>
        </w:rPr>
        <w:t>报价人参与报价，或参与竞价的报价人报价不符合上述规定的，网上竞价无效。</w:t>
      </w:r>
    </w:p>
    <w:p>
      <w:pPr>
        <w:pStyle w:val="4"/>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3、采购单位在提出采购需求时</w:t>
      </w:r>
      <w:r>
        <w:rPr>
          <w:rFonts w:hint="eastAsia" w:ascii="宋体" w:hAnsi="宋体" w:eastAsia="宋体" w:cs="宋体"/>
          <w:b/>
          <w:bCs/>
          <w:color w:val="auto"/>
          <w:sz w:val="21"/>
          <w:szCs w:val="21"/>
          <w:highlight w:val="none"/>
          <w:lang w:eastAsia="zh-CN"/>
        </w:rPr>
        <w:t>若有</w:t>
      </w:r>
      <w:r>
        <w:rPr>
          <w:rFonts w:hint="eastAsia" w:ascii="宋体" w:hAnsi="宋体" w:eastAsia="宋体" w:cs="宋体"/>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4、报名文件审核通过或是报价最低不作为最终成交的保证。</w:t>
      </w:r>
      <w:r>
        <w:rPr>
          <w:rFonts w:hint="eastAsia" w:ascii="宋体" w:hAnsi="宋体" w:eastAsia="宋体" w:cs="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7"/>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lang w:val="en-US" w:eastAsia="zh-CN"/>
        </w:rPr>
        <w:t>5、</w:t>
      </w:r>
      <w:r>
        <w:rPr>
          <w:rStyle w:val="7"/>
          <w:rFonts w:hint="eastAsia" w:ascii="宋体" w:hAnsi="宋体" w:eastAsia="宋体" w:cs="宋体"/>
          <w:color w:val="auto"/>
          <w:kern w:val="0"/>
          <w:sz w:val="21"/>
          <w:szCs w:val="21"/>
          <w:highlight w:val="none"/>
        </w:rPr>
        <w:t>有下列情形之一的，视为竞价人相互串通竞价，其竞价结果无效:</w:t>
      </w:r>
    </w:p>
    <w:p>
      <w:pPr>
        <w:spacing w:line="240" w:lineRule="auto"/>
        <w:ind w:firstLine="420" w:firstLineChars="200"/>
        <w:jc w:val="left"/>
        <w:rPr>
          <w:rStyle w:val="7"/>
          <w:rFonts w:hint="eastAsia" w:ascii="宋体" w:hAnsi="宋体" w:eastAsia="宋体" w:cs="宋体"/>
          <w:color w:val="auto"/>
          <w:kern w:val="0"/>
          <w:sz w:val="21"/>
          <w:szCs w:val="21"/>
          <w:highlight w:val="none"/>
        </w:rPr>
      </w:pPr>
      <w:r>
        <w:rPr>
          <w:rStyle w:val="7"/>
          <w:rFonts w:hint="eastAsia" w:ascii="宋体" w:hAnsi="宋体" w:eastAsia="宋体" w:cs="宋体"/>
          <w:color w:val="auto"/>
          <w:kern w:val="0"/>
          <w:sz w:val="21"/>
          <w:szCs w:val="21"/>
          <w:highlight w:val="none"/>
        </w:rPr>
        <w:t>①不同竞价人的证明材料由同一单位或者个人编制;</w:t>
      </w:r>
    </w:p>
    <w:p>
      <w:pPr>
        <w:spacing w:line="240" w:lineRule="auto"/>
        <w:ind w:firstLine="420" w:firstLineChars="200"/>
        <w:jc w:val="left"/>
        <w:rPr>
          <w:rStyle w:val="7"/>
          <w:rFonts w:hint="eastAsia" w:ascii="宋体" w:hAnsi="宋体" w:eastAsia="宋体" w:cs="宋体"/>
          <w:color w:val="auto"/>
          <w:kern w:val="0"/>
          <w:sz w:val="21"/>
          <w:szCs w:val="21"/>
          <w:highlight w:val="none"/>
        </w:rPr>
      </w:pPr>
      <w:r>
        <w:rPr>
          <w:rStyle w:val="7"/>
          <w:rFonts w:hint="eastAsia" w:ascii="宋体" w:hAnsi="宋体" w:eastAsia="宋体" w:cs="宋体"/>
          <w:color w:val="auto"/>
          <w:kern w:val="0"/>
          <w:sz w:val="21"/>
          <w:szCs w:val="21"/>
          <w:highlight w:val="none"/>
        </w:rPr>
        <w:t>②不同竞价人委托同一单位或者个人办理竞价事宜;</w:t>
      </w:r>
    </w:p>
    <w:p>
      <w:pPr>
        <w:spacing w:line="240" w:lineRule="auto"/>
        <w:ind w:firstLine="420" w:firstLineChars="200"/>
        <w:jc w:val="left"/>
        <w:rPr>
          <w:rStyle w:val="7"/>
          <w:rFonts w:hint="eastAsia" w:ascii="宋体" w:hAnsi="宋体" w:eastAsia="宋体" w:cs="宋体"/>
          <w:color w:val="auto"/>
          <w:kern w:val="0"/>
          <w:sz w:val="21"/>
          <w:szCs w:val="21"/>
          <w:highlight w:val="none"/>
        </w:rPr>
      </w:pPr>
      <w:r>
        <w:rPr>
          <w:rStyle w:val="7"/>
          <w:rFonts w:hint="eastAsia" w:ascii="宋体" w:hAnsi="宋体" w:eastAsia="宋体" w:cs="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ascii="宋体" w:hAnsi="宋体" w:eastAsia="宋体" w:cs="宋体"/>
          <w:color w:val="auto"/>
          <w:szCs w:val="21"/>
          <w:highlight w:val="none"/>
          <w:lang w:val="en-US" w:eastAsia="zh-CN"/>
        </w:rPr>
      </w:pPr>
      <w:r>
        <w:rPr>
          <w:rStyle w:val="7"/>
          <w:rFonts w:hint="eastAsia" w:ascii="宋体" w:hAnsi="宋体" w:eastAsia="宋体" w:cs="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报价文件有上述情形之一的，认定为未对竞价文件作出实质性响应，</w:t>
      </w:r>
      <w:r>
        <w:rPr>
          <w:rFonts w:hint="eastAsia" w:ascii="宋体" w:hAnsi="宋体" w:eastAsia="宋体" w:cs="宋体"/>
          <w:b/>
          <w:bCs/>
          <w:color w:val="auto"/>
          <w:sz w:val="21"/>
          <w:szCs w:val="21"/>
          <w:highlight w:val="none"/>
        </w:rPr>
        <w:t>作无效报价处理</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1000.00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br w:type="page"/>
      </w:r>
      <w:bookmarkStart w:id="9" w:name="_Toc19561"/>
      <w:r>
        <w:rPr>
          <w:rFonts w:hint="eastAsia" w:ascii="宋体" w:hAnsi="宋体" w:eastAsia="宋体" w:cs="宋体"/>
          <w:b/>
          <w:bCs/>
          <w:color w:val="auto"/>
          <w:kern w:val="0"/>
          <w:sz w:val="21"/>
          <w:szCs w:val="21"/>
          <w:lang w:eastAsia="zh-CN"/>
        </w:rPr>
        <w:t>第二部分</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竞价内容及要求</w:t>
      </w:r>
      <w:bookmarkEnd w:id="9"/>
    </w:p>
    <w:p>
      <w:pPr>
        <w:snapToGrid w:val="0"/>
        <w:spacing w:line="420" w:lineRule="exact"/>
        <w:ind w:right="168" w:rightChars="80" w:firstLine="422"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一、项目概况、技术和服务要求</w:t>
      </w:r>
    </w:p>
    <w:p>
      <w:pPr>
        <w:spacing w:line="48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竞价内容一览表</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品目</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rPr>
            </w:pPr>
            <w:r>
              <w:rPr>
                <w:rFonts w:hint="eastAsia" w:ascii="宋体" w:hAnsi="宋体" w:eastAsia="宋体" w:cs="宋体"/>
                <w:color w:val="auto"/>
                <w:sz w:val="21"/>
                <w:szCs w:val="21"/>
              </w:rPr>
              <w:t>柜式七氟丙烷消防报警控制系统采购项目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70000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70000</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柒万元</w:t>
            </w:r>
            <w:r>
              <w:rPr>
                <w:rFonts w:hint="eastAsia" w:ascii="宋体" w:hAnsi="宋体" w:eastAsia="宋体" w:cs="宋体"/>
                <w:color w:val="auto"/>
                <w:kern w:val="0"/>
                <w:sz w:val="21"/>
                <w:szCs w:val="21"/>
                <w:lang w:eastAsia="zh-CN"/>
              </w:rPr>
              <w:t>整（￥</w:t>
            </w:r>
            <w:r>
              <w:rPr>
                <w:rFonts w:hint="eastAsia" w:ascii="宋体" w:hAnsi="宋体" w:eastAsia="宋体" w:cs="宋体"/>
                <w:color w:val="auto"/>
                <w:kern w:val="0"/>
                <w:sz w:val="21"/>
                <w:szCs w:val="21"/>
                <w:lang w:val="en-US" w:eastAsia="zh-CN"/>
              </w:rPr>
              <w:t>70000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rPr>
                <w:color w:val="auto"/>
              </w:rPr>
            </w:pPr>
            <w:r>
              <w:rPr>
                <w:rFonts w:hint="eastAsia" w:ascii="宋体" w:hAnsi="宋体" w:eastAsia="宋体" w:cs="宋体"/>
                <w:b/>
                <w:bCs/>
                <w:color w:val="auto"/>
                <w:sz w:val="21"/>
                <w:szCs w:val="24"/>
                <w:highlight w:val="none"/>
                <w:lang w:val="en-US" w:eastAsia="zh-CN"/>
              </w:rPr>
              <w:t>备注：</w:t>
            </w:r>
          </w:p>
          <w:p>
            <w:pPr>
              <w:pStyle w:val="2"/>
              <w:numPr>
                <w:ilvl w:val="0"/>
                <w:numId w:val="0"/>
              </w:numPr>
              <w:ind w:left="0" w:leftChars="0" w:firstLine="0" w:firstLineChars="0"/>
              <w:rPr>
                <w:rFonts w:hint="eastAsia" w:ascii="宋体" w:hAnsi="宋体" w:eastAsia="宋体" w:cs="宋体"/>
                <w:b/>
                <w:bCs/>
                <w:color w:val="auto"/>
                <w:sz w:val="21"/>
                <w:szCs w:val="24"/>
                <w:highlight w:val="yellow"/>
                <w:lang w:val="en-US" w:eastAsia="zh-CN"/>
              </w:rPr>
            </w:pP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tbl>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2、技术要求：系统需满足以下技术要求：</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2.1、灭火剂瓶组：2.5MPa灭火剂瓶组≥2个，容量1：≥70L</w:t>
      </w:r>
      <w:r>
        <w:rPr>
          <w:rFonts w:hint="eastAsia" w:ascii="宋体" w:hAnsi="宋体" w:eastAsia="宋体" w:cs="宋体"/>
          <w:b/>
          <w:color w:val="auto"/>
          <w:kern w:val="0"/>
          <w:sz w:val="21"/>
          <w:szCs w:val="21"/>
          <w:lang w:val="en-US" w:eastAsia="zh-CN"/>
        </w:rPr>
        <w:tab/>
      </w:r>
      <w:r>
        <w:rPr>
          <w:rFonts w:hint="eastAsia" w:ascii="宋体" w:hAnsi="宋体" w:eastAsia="宋体" w:cs="宋体"/>
          <w:b/>
          <w:color w:val="auto"/>
          <w:kern w:val="0"/>
          <w:sz w:val="21"/>
          <w:szCs w:val="21"/>
          <w:lang w:val="en-US" w:eastAsia="zh-CN"/>
        </w:rPr>
        <w:t>容量2：≥120L，配套七氟丙烷灭火剂≥190KG；</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2.2、气体灭火控制器：工作电压 AC220V 50Hz，电池 12V 5Ah，2节，具有1路控制输出；</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2.3、控制模块：与火灾报警控制器采用无极 ，性信号二总线连接，与电源线采用无极性二线制连接，使用环境 温度:-10℃~+55℃ ，相对湿度≤95%，不凝露，外壳材质 前面板为塑料，其他为金属</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2.4、机械式泄压装置：结构形式 机械型 ,开启压力 1000pa±50pa, 有效泄压面积 0.12m2 0.25m2,提供墙体开孔；</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2.5、泄压配套设备：轴流风机0.25KW/380V≥1台，风机控制柜≥1台，防雨百叶风口≥1台，镀锌风管≥20平米</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2.6、其他配套设备：光电感烟探器≥2个，光电感温探器</w:t>
      </w:r>
      <w:r>
        <w:rPr>
          <w:rFonts w:hint="eastAsia" w:ascii="宋体" w:hAnsi="宋体" w:eastAsia="宋体" w:cs="宋体"/>
          <w:b/>
          <w:color w:val="auto"/>
          <w:kern w:val="0"/>
          <w:sz w:val="21"/>
          <w:szCs w:val="21"/>
          <w:lang w:val="en-US" w:eastAsia="zh-CN"/>
        </w:rPr>
        <w:tab/>
      </w:r>
      <w:r>
        <w:rPr>
          <w:rFonts w:hint="eastAsia" w:ascii="宋体" w:hAnsi="宋体" w:eastAsia="宋体" w:cs="宋体"/>
          <w:b/>
          <w:color w:val="auto"/>
          <w:kern w:val="0"/>
          <w:sz w:val="21"/>
          <w:szCs w:val="21"/>
          <w:lang w:val="en-US" w:eastAsia="zh-CN"/>
        </w:rPr>
        <w:t>≥2个，声光报警器</w:t>
      </w:r>
      <w:r>
        <w:rPr>
          <w:rFonts w:hint="eastAsia" w:ascii="宋体" w:hAnsi="宋体" w:eastAsia="宋体" w:cs="宋体"/>
          <w:b/>
          <w:color w:val="auto"/>
          <w:kern w:val="0"/>
          <w:sz w:val="21"/>
          <w:szCs w:val="21"/>
          <w:lang w:val="en-US" w:eastAsia="zh-CN"/>
        </w:rPr>
        <w:tab/>
      </w:r>
      <w:r>
        <w:rPr>
          <w:rFonts w:hint="eastAsia" w:ascii="宋体" w:hAnsi="宋体" w:eastAsia="宋体" w:cs="宋体"/>
          <w:b/>
          <w:color w:val="auto"/>
          <w:kern w:val="0"/>
          <w:sz w:val="21"/>
          <w:szCs w:val="21"/>
          <w:lang w:val="en-US" w:eastAsia="zh-CN"/>
        </w:rPr>
        <w:t>≥2个，气体释放灯</w:t>
      </w:r>
      <w:r>
        <w:rPr>
          <w:rFonts w:hint="eastAsia" w:ascii="宋体" w:hAnsi="宋体" w:eastAsia="宋体" w:cs="宋体"/>
          <w:b/>
          <w:color w:val="auto"/>
          <w:kern w:val="0"/>
          <w:sz w:val="21"/>
          <w:szCs w:val="21"/>
          <w:lang w:val="en-US" w:eastAsia="zh-CN"/>
        </w:rPr>
        <w:tab/>
      </w:r>
      <w:r>
        <w:rPr>
          <w:rFonts w:hint="eastAsia" w:ascii="宋体" w:hAnsi="宋体" w:eastAsia="宋体" w:cs="宋体"/>
          <w:b/>
          <w:color w:val="auto"/>
          <w:kern w:val="0"/>
          <w:sz w:val="21"/>
          <w:szCs w:val="21"/>
          <w:lang w:val="en-US" w:eastAsia="zh-CN"/>
        </w:rPr>
        <w:t>≥1个，紧急启/停按钮</w:t>
      </w:r>
      <w:r>
        <w:rPr>
          <w:rFonts w:hint="eastAsia" w:ascii="宋体" w:hAnsi="宋体" w:eastAsia="宋体" w:cs="宋体"/>
          <w:b/>
          <w:color w:val="auto"/>
          <w:kern w:val="0"/>
          <w:sz w:val="21"/>
          <w:szCs w:val="21"/>
          <w:lang w:val="en-US" w:eastAsia="zh-CN"/>
        </w:rPr>
        <w:tab/>
      </w:r>
      <w:r>
        <w:rPr>
          <w:rFonts w:hint="eastAsia" w:ascii="宋体" w:hAnsi="宋体" w:eastAsia="宋体" w:cs="宋体"/>
          <w:b/>
          <w:color w:val="auto"/>
          <w:kern w:val="0"/>
          <w:sz w:val="21"/>
          <w:szCs w:val="21"/>
          <w:lang w:val="en-US" w:eastAsia="zh-CN"/>
        </w:rPr>
        <w:t>≥1个</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2.7、保护装置：EMC 防护单元≥1个，提供以太网线路保护、过压保护、漏电保护及串口保护输入&gt;50VDC 过压保护开启并关闭输出;安装灵活可放至于线槽内部，尺寸:≤长70mm*宽 38mm*高 20mm。（提供设备实物图带尺寸标识和以太网接线方式示意图进行佐证）</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2.8、线路及辅材：其他相关的配套的控制线路，电源线，及网络线（线材根据现场情况提供）。</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bCs/>
          <w:color w:val="auto"/>
          <w:sz w:val="21"/>
          <w:szCs w:val="21"/>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1、交付地点：福州职业技术学院爱心楼402</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供货时间：领取成交通知后10日内完成供货。</w:t>
      </w:r>
    </w:p>
    <w:p>
      <w:pPr>
        <w:pStyle w:val="8"/>
        <w:keepNext w:val="0"/>
        <w:keepLines w:val="0"/>
        <w:pageBreakBefore w:val="0"/>
        <w:kinsoku/>
        <w:wordWrap/>
        <w:overflowPunct/>
        <w:topLinePunct w:val="0"/>
        <w:bidi w:val="0"/>
        <w:adjustRightInd/>
        <w:snapToGrid/>
        <w:spacing w:line="240" w:lineRule="auto"/>
        <w:ind w:right="0" w:rightChars="0"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highlight w:val="none"/>
        </w:rPr>
        <w:t>付款方式与条件</w:t>
      </w:r>
      <w:r>
        <w:rPr>
          <w:rFonts w:hint="eastAsia" w:ascii="宋体" w:hAnsi="宋体" w:eastAsia="宋体" w:cs="宋体"/>
          <w:b/>
          <w:bCs/>
          <w:color w:val="auto"/>
          <w:sz w:val="21"/>
          <w:szCs w:val="21"/>
          <w:highlight w:val="none"/>
          <w:lang w:eastAsia="zh-CN"/>
        </w:rPr>
        <w:t>：</w:t>
      </w:r>
    </w:p>
    <w:p>
      <w:pPr>
        <w:pStyle w:val="9"/>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3.1全部货物交货经安装调试，并经验收合格后，10个工作日内学校凭收讫货物的验收凭证和货物验收合格文件等材料以 转账方式向供应商一次性支付 100% 的货物价款。</w:t>
      </w:r>
    </w:p>
    <w:p>
      <w:pPr>
        <w:pStyle w:val="9"/>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lang w:val="en-US" w:eastAsia="zh-CN"/>
        </w:rPr>
        <w:t>3.2付款条件：金额为有关合同货物价格100%的正式发票。</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4.质量要求：</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4.1在质量保证期内设备运行发生故障时，成交人在接到采购人故障通知后 24小时内应委派专业技术人员到现场免费提供咨询、维修和更换零部件等服务，并及时填写维修报告（包括故障原因、处理情况及采购人意见等）报采购人备案，若4小时内无法排除故障，则应先提供同档次备用产品供采购人使用，其中发生一切费用由成交人承担。质量保证期内成交人有责任对设备进行不定期的巡查检修免费保修期结束前一个月内成交人应负责对货物进行一次免费全面检查，如发现潜在问题，应负责排除，保证货物的正常运行。质保期外重复出现质保期内出现的故障属免费保修范围。</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4.2在质保期间所有设备的检定或校准费用均由成交人承担。</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5.服务要求</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5.1成交人所提供的货物必须符合国家的有关标准。标准所指为货物及服务应符合合同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5.2成交人所提供的货物须按相应的国家标准及其特殊要求包装。内外包装的标志编号清晰，标签内容完整（包括产品名称、生产批号、生产日期、有效期、使用说明、商标、注意事项、生产企业名称、地址、电话等）。</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5.3成交人所提供的货物均由成交人送货至采购人指定的交货地点，按采购人要求安装到位。</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5.4运输过程中造成的货物损坏、丢失或其它质量问题，其责任和损失由成交人负担。</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5.5本合同价为固定价，不受时间、物价升降等因素的影响，成交人需按所报清单上所列品种送货，不准以其它同类型代替。</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5.6成交人应在供货同时向采购人提供所有有关本合同执行的技术文件。如果项目必需但合同又未作规定的要成交人才能提供的技术文件，成交人也应及时向采购人提供。技术文件可以是手册、说明、其他形式的文件资料。</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5.7上述技术文件应包含保证采购人能够正确进行使用、检查、测试、验收的需要的所有内容。</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5.8所有成交人提供的技术文件的全部费用已包含在合同总价中。</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5.9所有未列明交付时间的成交人应提供的技术文件，必须单独包装伴随货物按货物交付时间交付给采购人。技术文件未提供给采购人的，视为成交人未完全履行交付义务。</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5.10到货后采购人如发现成交人未提供有关文件，可以推迟付款，直至成交人补齐有关文件。</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5.11应根据现场布线的情况，合理设计，及时完整安装地板。</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6.包装和运输</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6.1包装必须与运输方式相适应，包装方式的确定及包装费用均由成交人负责；由于不适当的包装而造成货物在运输过程中有任何损坏、丢失由成交人负责。</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6.2专用工具及备品备件应分别包装，并在包装箱外加以注明其用处。</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6.3安装场地位于爱心楼402室，应符合运输要求，保证货物到达目的地时完好，无毁损，包装不回收。在运输过程中造成的产品损失或损坏由成交人负担。</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6.4货物、生产、包装、仓储、运输、装卸、保险以及成交人进行安装、调试、验收、培训、技术服务（包括技术资料）、保障服务等全部费用及税费均包含在本合同价款中。</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质保期：</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产品保质期为1年，质保期间出现质量问题免费维修或者更换（从验收合格之日起算）。</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验收要求：</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8.1 到货验收：货物送至采购人安装现场后，成交人和采购人一同拆箱，对其全部货物、零件、配件的型号、规格、数量、外型、外观、包装进行到货验收。成交人应负责在项目验收时将系统的全部有关技术文件、资料、及安装、测试报告等文档汇集成册交付项目单位。</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8.2最终验收</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货物全部安装到位后进行最终验收。采购人在收到成交人的验收申请后15个工作日内进行设备的验收。采购人将按照采购合同规定的技术、服务、安全标准组织对成交人履约情况进行验收，并出具验收书。验收书应当包括每一项技术、服务、安全标准的履约情况。验收过程中，若发现货物质量有问题成交人应无条件于 7 天内免费更换，重新检测并调试清楚后重新提交验收申请。在此期间，成交人在采购人现场进行安装、调试、集成、试运行直至验收所发生的一切费用由成交人承担且已含在投标总价中。</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9、不可抗力</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9.1采购人、成交人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10.产权与风险转移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10.1成交人交由承运人运输的在途货物，毁损、灭失的风险由成交人承担。</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10.2货物的产权以及损坏、灭失的风险在货物通过验收并交付使用前归属于成交人，在货物通过验收并交付使用时起由成交人转移至采购人。</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10.3产权和风险的转移，不影响因成交人履行义务不符合约定，采购人要求其承担违约责任的权利。</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11.违约责任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11.1.交货不符合约定或存在缺陷的，应在5天内完成换货。逾期违约金，违约金按成交金额的 1 ％/天计算。</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11.2 </w:t>
      </w:r>
      <w:bookmarkStart w:id="10" w:name="_Hlk85789287"/>
      <w:r>
        <w:rPr>
          <w:rFonts w:hint="eastAsia" w:ascii="宋体" w:hAnsi="宋体" w:eastAsia="宋体" w:cs="宋体"/>
          <w:b w:val="0"/>
          <w:bCs w:val="0"/>
          <w:color w:val="auto"/>
          <w:kern w:val="0"/>
          <w:sz w:val="21"/>
          <w:szCs w:val="21"/>
          <w:highlight w:val="none"/>
          <w:lang w:val="en-US" w:eastAsia="zh-CN"/>
        </w:rPr>
        <w:t>逾期</w:t>
      </w:r>
      <w:bookmarkEnd w:id="10"/>
      <w:r>
        <w:rPr>
          <w:rFonts w:hint="eastAsia" w:ascii="宋体" w:hAnsi="宋体" w:eastAsia="宋体" w:cs="宋体"/>
          <w:b w:val="0"/>
          <w:bCs w:val="0"/>
          <w:color w:val="auto"/>
          <w:kern w:val="0"/>
          <w:sz w:val="21"/>
          <w:szCs w:val="21"/>
          <w:highlight w:val="none"/>
          <w:lang w:val="en-US" w:eastAsia="zh-CN"/>
        </w:rPr>
        <w:t>交货的赔偿、除不可抗力和采购人因素外，如果成交人不能按照规定的时间交付和提供服务，应及时以书面形式将逾期的事实、可能逾期的时间和原因通知采购人，如果未能按照规定的时间提供货物和提供服务的，每逾期1天，成交人按成交金额支付逾期金额 1 ％的违约金。</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11.3 违约违规终止</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若成交人未能在规定的期限内提供货物，在采购人对成交人违约而采取的任何补救措施不受影响的情况下，采购人还可向成交人发出书面的违约通知书，单方终止部分或全部协议。</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11.4解决争议的方法</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11.4.1采购人、成交人双方协商解决。</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11.4.2若协商解决不成，则通过下列途径解决：向人民法院提起诉讼，具体如下：向采购人所在地有管辖权的人民法院提起诉讼。</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pageBreakBefore w:val="0"/>
        <w:kinsoku/>
        <w:wordWrap/>
        <w:overflowPunct/>
        <w:topLinePunct w:val="0"/>
        <w:bidi w:val="0"/>
        <w:adjustRightInd/>
        <w:snapToGrid/>
        <w:spacing w:line="240" w:lineRule="auto"/>
        <w:ind w:firstLine="4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eastAsia="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eastAsia="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10</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29</w:t>
      </w:r>
      <w:r>
        <w:rPr>
          <w:rFonts w:hint="eastAsia" w:ascii="宋体" w:hAnsi="宋体" w:eastAsia="宋体" w:cs="宋体"/>
          <w:b/>
          <w:color w:val="auto"/>
          <w:kern w:val="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A7817"/>
    <w:rsid w:val="1A546DAB"/>
    <w:rsid w:val="7E6A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50" w:after="120" w:line="240" w:lineRule="auto"/>
      <w:ind w:left="420" w:leftChars="200" w:firstLine="200" w:firstLineChars="200"/>
    </w:pPr>
    <w:rPr>
      <w:rFonts w:ascii="Times New Roman" w:eastAsia="宋体"/>
      <w:sz w:val="21"/>
      <w:szCs w:val="24"/>
    </w:rPr>
  </w:style>
  <w:style w:type="paragraph" w:styleId="3">
    <w:name w:val="Body Text Indent"/>
    <w:basedOn w:val="1"/>
    <w:qFormat/>
    <w:uiPriority w:val="0"/>
    <w:pPr>
      <w:spacing w:after="120"/>
      <w:ind w:left="420" w:leftChars="200"/>
    </w:p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NormalCharacter"/>
    <w:qFormat/>
    <w:uiPriority w:val="0"/>
    <w:rPr>
      <w:rFonts w:ascii="Calibri" w:hAnsi="Calibri" w:cs="宋体"/>
      <w:kern w:val="2"/>
      <w:sz w:val="21"/>
      <w:szCs w:val="24"/>
      <w:lang w:val="en-US" w:eastAsia="zh-CN" w:bidi="ar-SA"/>
    </w:rPr>
  </w:style>
  <w:style w:type="paragraph" w:customStyle="1" w:styleId="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9">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2024-10-29T09:01:00Z</dcterms:created>
  <dc:creator>Administrator</dc:creator>
  <cp:lastModifiedBy>Administrator</cp:lastModifiedBy>
  <dcterms:modified xsi:type="dcterms:W3CDTF">2024-10-29T10:29:57Z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