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 w:val="28"/>
          <w:szCs w:val="28"/>
          <w:highlight w:val="none"/>
          <w:lang w:val="en-US" w:eastAsia="zh-CN"/>
        </w:rPr>
      </w:pPr>
      <w:bookmarkStart w:id="0" w:name="_Toc6176"/>
      <w:bookmarkStart w:id="1" w:name="_Toc3261"/>
      <w:bookmarkStart w:id="10" w:name="_GoBack"/>
      <w:r>
        <w:rPr>
          <w:rFonts w:hint="eastAsia" w:ascii="宋体" w:hAnsi="宋体"/>
          <w:b/>
          <w:bCs/>
          <w:color w:val="auto"/>
          <w:sz w:val="28"/>
          <w:szCs w:val="28"/>
          <w:highlight w:val="none"/>
        </w:rPr>
        <w:t>福州职业技术学院购买校园治安巡逻车项目</w:t>
      </w:r>
      <w:r>
        <w:rPr>
          <w:rFonts w:hint="eastAsia" w:ascii="宋体" w:hAnsi="宋体"/>
          <w:b/>
          <w:bCs/>
          <w:color w:val="auto"/>
          <w:sz w:val="28"/>
          <w:szCs w:val="28"/>
          <w:highlight w:val="none"/>
          <w:lang w:val="en-US" w:eastAsia="zh-CN"/>
        </w:rPr>
        <w:t>竞价公告</w:t>
      </w:r>
    </w:p>
    <w:bookmarkEnd w:id="10"/>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rPr>
        <w:t xml:space="preserve">第一部分  </w:t>
      </w:r>
      <w:r>
        <w:rPr>
          <w:rFonts w:hint="eastAsia" w:ascii="宋体" w:hAnsi="宋体"/>
          <w:b/>
          <w:bCs/>
          <w:color w:val="auto"/>
          <w:szCs w:val="21"/>
          <w:highlight w:val="none"/>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highlight w:val="none"/>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highlight w:val="none"/>
        </w:rPr>
      </w:pPr>
      <w:bookmarkStart w:id="3" w:name="_Toc23474"/>
      <w:r>
        <w:rPr>
          <w:rFonts w:hint="eastAsia" w:ascii="宋体" w:hAnsi="宋体"/>
          <w:b/>
          <w:bCs/>
          <w:color w:val="auto"/>
          <w:sz w:val="21"/>
          <w:szCs w:val="21"/>
          <w:highlight w:val="none"/>
        </w:rPr>
        <w:t>一、网上</w:t>
      </w:r>
      <w:r>
        <w:rPr>
          <w:rFonts w:ascii="宋体" w:hAnsi="宋体"/>
          <w:b/>
          <w:bCs/>
          <w:color w:val="auto"/>
          <w:sz w:val="21"/>
          <w:szCs w:val="21"/>
          <w:highlight w:val="none"/>
        </w:rPr>
        <w:t>竞价</w:t>
      </w:r>
      <w:r>
        <w:rPr>
          <w:rFonts w:hint="eastAsia" w:ascii="宋体" w:hAnsi="宋体"/>
          <w:b/>
          <w:bCs/>
          <w:color w:val="auto"/>
          <w:sz w:val="21"/>
          <w:szCs w:val="21"/>
          <w:highlight w:val="none"/>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bCs/>
          <w:color w:val="auto"/>
          <w:kern w:val="0"/>
          <w:sz w:val="21"/>
          <w:szCs w:val="21"/>
          <w:highlight w:val="none"/>
        </w:rPr>
        <w:t>受福州职业技术学院委托</w:t>
      </w:r>
      <w:r>
        <w:rPr>
          <w:rFonts w:hint="eastAsia" w:ascii="宋体" w:hAnsi="宋体" w:cs="宋体"/>
          <w:color w:val="auto"/>
          <w:kern w:val="0"/>
          <w:sz w:val="21"/>
          <w:szCs w:val="21"/>
          <w:highlight w:val="none"/>
        </w:rPr>
        <w:t>，福建盛鑫招标代理有限公司采用网上竞价采购方式组织实施本次项目的采购，现邀请合格的供应商参加网上竞价。</w:t>
      </w:r>
    </w:p>
    <w:p>
      <w:pPr>
        <w:keepNext w:val="0"/>
        <w:keepLines w:val="0"/>
        <w:pageBreakBefore w:val="0"/>
        <w:widowControl/>
        <w:numPr>
          <w:ilvl w:val="0"/>
          <w:numId w:val="2"/>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竞价编号：FJSXW</w:t>
      </w:r>
      <w:r>
        <w:rPr>
          <w:rFonts w:hint="eastAsia" w:ascii="宋体" w:hAnsi="宋体"/>
          <w:color w:val="auto"/>
          <w:sz w:val="21"/>
          <w:szCs w:val="21"/>
          <w:highlight w:val="none"/>
          <w:lang w:val="en-US" w:eastAsia="zh-CN"/>
        </w:rPr>
        <w:t>J</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4029</w:t>
      </w:r>
    </w:p>
    <w:p>
      <w:pPr>
        <w:keepNext w:val="0"/>
        <w:keepLines w:val="0"/>
        <w:pageBreakBefore w:val="0"/>
        <w:widowControl/>
        <w:numPr>
          <w:ilvl w:val="0"/>
          <w:numId w:val="2"/>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项目名称：福州职业技术学院购买校园治安巡逻车项目</w:t>
      </w:r>
    </w:p>
    <w:p>
      <w:pPr>
        <w:keepNext w:val="0"/>
        <w:keepLines w:val="0"/>
        <w:pageBreakBefore w:val="0"/>
        <w:widowControl/>
        <w:numPr>
          <w:ilvl w:val="0"/>
          <w:numId w:val="2"/>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货物名称、交货期及主要技术规格详见竞价内容及要求“竞价</w:t>
      </w:r>
      <w:r>
        <w:rPr>
          <w:rFonts w:hint="eastAsia" w:ascii="宋体" w:hAnsi="宋体"/>
          <w:color w:val="auto"/>
          <w:sz w:val="21"/>
          <w:szCs w:val="21"/>
          <w:highlight w:val="none"/>
          <w:lang w:eastAsia="zh-CN"/>
        </w:rPr>
        <w:t>采购</w:t>
      </w:r>
      <w:r>
        <w:rPr>
          <w:rFonts w:hint="eastAsia" w:ascii="宋体" w:hAnsi="宋体"/>
          <w:color w:val="auto"/>
          <w:sz w:val="21"/>
          <w:szCs w:val="21"/>
          <w:highlight w:val="none"/>
        </w:rPr>
        <w:t>一览表”</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4.报名起止时间：2024年11月13日9：00-2024年11月15日17:00</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lang w:val="en-US" w:eastAsia="zh-CN"/>
        </w:rPr>
        <w:t>5.竞价起止时间：2024年11月18日14:00-16:00（北京时间）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lang w:eastAsia="zh-CN"/>
        </w:rPr>
      </w:pPr>
      <w:r>
        <w:rPr>
          <w:rFonts w:hint="eastAsia" w:ascii="宋体" w:hAnsi="宋体"/>
          <w:color w:val="auto"/>
          <w:sz w:val="21"/>
          <w:szCs w:val="21"/>
          <w:highlight w:val="none"/>
        </w:rPr>
        <w:t>6．网上竞价招标文件售价为</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元</w:t>
      </w:r>
      <w:r>
        <w:rPr>
          <w:rFonts w:hint="eastAsia" w:ascii="宋体" w:hAnsi="宋体"/>
          <w:color w:val="auto"/>
          <w:sz w:val="21"/>
          <w:szCs w:val="21"/>
          <w:highlight w:val="none"/>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请</w:t>
      </w:r>
      <w:r>
        <w:rPr>
          <w:rFonts w:hint="eastAsia" w:ascii="宋体" w:hAnsi="宋体"/>
          <w:color w:val="auto"/>
          <w:sz w:val="21"/>
          <w:szCs w:val="21"/>
          <w:highlight w:val="none"/>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highlight w:val="none"/>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7．</w:t>
      </w:r>
      <w:r>
        <w:rPr>
          <w:rFonts w:hint="eastAsia" w:ascii="宋体" w:hAnsi="宋体" w:eastAsia="宋体" w:cs="宋体"/>
          <w:color w:val="auto"/>
          <w:sz w:val="21"/>
          <w:szCs w:val="21"/>
          <w:highlight w:val="none"/>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李老师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联系电话：13609515061</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地  址：福州市鼓楼区鼓东街道湖东路79号外运大厦七层</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电  话：0591-</w:t>
      </w:r>
      <w:r>
        <w:rPr>
          <w:rFonts w:hint="eastAsia" w:ascii="宋体" w:hAnsi="宋体"/>
          <w:color w:val="auto"/>
          <w:sz w:val="21"/>
          <w:szCs w:val="21"/>
          <w:highlight w:val="none"/>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电子信箱：</w:t>
      </w:r>
      <w:r>
        <w:rPr>
          <w:rFonts w:hint="eastAsia" w:ascii="宋体" w:hAnsi="宋体"/>
          <w:color w:val="auto"/>
          <w:sz w:val="21"/>
          <w:szCs w:val="21"/>
          <w:highlight w:val="none"/>
          <w:lang w:val="en-US" w:eastAsia="zh-CN"/>
        </w:rPr>
        <w:t>1051874670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qq</w:t>
      </w:r>
      <w:r>
        <w:rPr>
          <w:rFonts w:hint="eastAsia" w:ascii="宋体" w:hAnsi="宋体"/>
          <w:color w:val="auto"/>
          <w:sz w:val="21"/>
          <w:szCs w:val="21"/>
          <w:highlight w:val="none"/>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highlight w:val="none"/>
          <w:lang w:eastAsia="zh-CN"/>
        </w:rPr>
      </w:pPr>
      <w:r>
        <w:rPr>
          <w:rFonts w:hint="eastAsia" w:ascii="宋体" w:hAnsi="宋体" w:cs="Arial"/>
          <w:b/>
          <w:bCs/>
          <w:color w:val="auto"/>
          <w:kern w:val="0"/>
          <w:sz w:val="21"/>
          <w:szCs w:val="21"/>
          <w:highlight w:val="none"/>
          <w:lang w:val="en-US" w:eastAsia="zh-CN"/>
        </w:rPr>
        <w:t>9、竞价</w:t>
      </w:r>
      <w:r>
        <w:rPr>
          <w:rFonts w:hint="eastAsia" w:ascii="宋体" w:hAnsi="宋体" w:cs="Arial"/>
          <w:b/>
          <w:bCs/>
          <w:color w:val="auto"/>
          <w:kern w:val="0"/>
          <w:sz w:val="21"/>
          <w:szCs w:val="21"/>
          <w:highlight w:val="none"/>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highlight w:val="none"/>
        </w:rPr>
      </w:pPr>
      <w:r>
        <w:rPr>
          <w:rFonts w:hint="eastAsia" w:ascii="宋体" w:hAnsi="宋体" w:cs="Arial"/>
          <w:color w:val="auto"/>
          <w:kern w:val="0"/>
          <w:sz w:val="21"/>
          <w:szCs w:val="21"/>
          <w:highlight w:val="none"/>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highlight w:val="none"/>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highlight w:val="none"/>
        </w:rPr>
      </w:pPr>
      <w:bookmarkStart w:id="5" w:name="_Toc28461"/>
      <w:r>
        <w:rPr>
          <w:rFonts w:hint="eastAsia" w:ascii="宋体" w:hAnsi="宋体"/>
          <w:b/>
          <w:bCs/>
          <w:color w:val="auto"/>
          <w:szCs w:val="21"/>
          <w:highlight w:val="none"/>
          <w:lang w:eastAsia="zh-CN"/>
        </w:rPr>
        <w:t>二、</w:t>
      </w:r>
      <w:r>
        <w:rPr>
          <w:rFonts w:hint="eastAsia" w:ascii="宋体" w:hAnsi="宋体"/>
          <w:b/>
          <w:bCs/>
          <w:color w:val="auto"/>
          <w:szCs w:val="21"/>
          <w:highlight w:val="none"/>
        </w:rPr>
        <w:t>竞价</w:t>
      </w:r>
      <w:r>
        <w:rPr>
          <w:rFonts w:hint="eastAsia" w:ascii="宋体" w:hAnsi="宋体"/>
          <w:b/>
          <w:bCs/>
          <w:color w:val="auto"/>
          <w:szCs w:val="21"/>
          <w:highlight w:val="none"/>
          <w:lang w:eastAsia="zh-CN"/>
        </w:rPr>
        <w:t>采购</w:t>
      </w:r>
      <w:r>
        <w:rPr>
          <w:rFonts w:hint="eastAsia" w:ascii="宋体" w:hAnsi="宋体"/>
          <w:b/>
          <w:bCs/>
          <w:color w:val="auto"/>
          <w:szCs w:val="21"/>
          <w:highlight w:val="none"/>
        </w:rPr>
        <w:t>一览表</w:t>
      </w:r>
      <w:bookmarkEnd w:id="4"/>
      <w:bookmarkEnd w:id="5"/>
    </w:p>
    <w:tbl>
      <w:tblPr>
        <w:tblStyle w:val="6"/>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385840944"/>
            <w:bookmarkStart w:id="7" w:name="_Toc140042883"/>
            <w:bookmarkStart w:id="8" w:name="_Toc140400460"/>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福州职业技术学院购买校园治安巡逻车项目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49800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sz w:val="21"/>
                <w:szCs w:val="21"/>
                <w:highlight w:val="none"/>
                <w:lang w:val="en-US" w:eastAsia="zh-CN"/>
              </w:rPr>
              <w:t>49800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肆万玖仟捌佰元</w:t>
            </w:r>
            <w:r>
              <w:rPr>
                <w:rFonts w:hint="eastAsia" w:ascii="宋体" w:hAnsi="宋体" w:eastAsia="宋体" w:cs="宋体"/>
                <w:color w:val="auto"/>
                <w:kern w:val="0"/>
                <w:sz w:val="21"/>
                <w:szCs w:val="21"/>
                <w:highlight w:val="none"/>
                <w:lang w:eastAsia="zh-CN"/>
              </w:rPr>
              <w:t>整（￥</w:t>
            </w:r>
            <w:r>
              <w:rPr>
                <w:rFonts w:hint="default" w:ascii="宋体" w:hAnsi="宋体" w:eastAsia="宋体" w:cs="宋体"/>
                <w:color w:val="auto"/>
                <w:sz w:val="21"/>
                <w:szCs w:val="21"/>
                <w:highlight w:val="none"/>
                <w:lang w:val="en-US" w:eastAsia="zh-CN"/>
              </w:rPr>
              <w:t>49800</w:t>
            </w:r>
            <w:r>
              <w:rPr>
                <w:rFonts w:hint="eastAsia" w:ascii="宋体" w:hAnsi="宋体" w:eastAsia="宋体" w:cs="宋体"/>
                <w:color w:val="auto"/>
                <w:kern w:val="0"/>
                <w:sz w:val="21"/>
                <w:szCs w:val="21"/>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color w:val="auto"/>
                <w:kern w:val="0"/>
                <w:sz w:val="21"/>
                <w:szCs w:val="21"/>
                <w:highlight w:val="none"/>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1、有能力提供本竞价文件所述货物及服务的</w:t>
      </w:r>
      <w:r>
        <w:rPr>
          <w:rFonts w:hint="eastAsia" w:ascii="宋体" w:hAnsi="宋体" w:eastAsia="宋体" w:cs="宋体"/>
          <w:b w:val="0"/>
          <w:bCs w:val="0"/>
          <w:color w:val="auto"/>
          <w:sz w:val="21"/>
          <w:szCs w:val="21"/>
          <w:highlight w:val="none"/>
        </w:rPr>
        <w:t>法人、其他组织或者自然人</w:t>
      </w:r>
      <w:r>
        <w:rPr>
          <w:rFonts w:hint="eastAsia" w:ascii="宋体" w:hAnsi="宋体" w:eastAsia="宋体" w:cs="宋体"/>
          <w:color w:val="auto"/>
          <w:sz w:val="21"/>
          <w:szCs w:val="21"/>
          <w:highlight w:val="none"/>
        </w:rPr>
        <w:t>均可能成为合格的竞价人，并提供有效的营业执照复印件或其他相应的证明文件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、报价人须提供参加本项目招标活动前3年内在经营活动中无不良信用记录的书面声明，并同时提供通过</w:t>
      </w:r>
      <w:r>
        <w:rPr>
          <w:rFonts w:hint="eastAsia" w:ascii="宋体" w:hAnsi="宋体" w:eastAsia="宋体" w:cs="宋体"/>
          <w:b/>
          <w:color w:val="auto"/>
          <w:sz w:val="21"/>
          <w:szCs w:val="21"/>
          <w:highlight w:val="none"/>
        </w:rPr>
        <w:t>“信用中国”网站（www.creditchina.gov.cn）、中国政府采购网（www.ccgp.gov.cn）信用信息查询无不良信用记录的打印件（或截图）</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xml:space="preserve">    </w:t>
      </w:r>
      <w:r>
        <w:rPr>
          <w:rFonts w:hint="eastAsia" w:ascii="宋体" w:hAnsi="宋体" w:eastAsia="宋体" w:cs="宋体"/>
          <w:color w:val="auto"/>
          <w:sz w:val="21"/>
          <w:szCs w:val="21"/>
          <w:highlight w:val="none"/>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本项目拒绝列入政府不良行为记录期间的企业或个人参与报价。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9、本项目特定资格：竞价人需具备巡逻车车辆销售资质。</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kern w:val="0"/>
          <w:sz w:val="21"/>
          <w:szCs w:val="21"/>
          <w:highlight w:val="none"/>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highlight w:val="none"/>
        </w:rPr>
        <w:t>在网上竞价截止时间前一个工作日须提交 “合格的竞价人”要求的所有相关材料并加盖</w:t>
      </w:r>
      <w:r>
        <w:rPr>
          <w:rFonts w:hint="eastAsia" w:ascii="宋体" w:hAnsi="宋体" w:eastAsia="宋体" w:cs="宋体"/>
          <w:bCs/>
          <w:color w:val="auto"/>
          <w:kern w:val="0"/>
          <w:sz w:val="21"/>
          <w:szCs w:val="21"/>
          <w:highlight w:val="none"/>
          <w:lang w:eastAsia="zh-CN"/>
        </w:rPr>
        <w:t>公章</w:t>
      </w:r>
      <w:r>
        <w:rPr>
          <w:rFonts w:hint="eastAsia" w:ascii="宋体" w:hAnsi="宋体" w:eastAsia="宋体" w:cs="宋体"/>
          <w:bCs/>
          <w:color w:val="auto"/>
          <w:kern w:val="0"/>
          <w:sz w:val="21"/>
          <w:szCs w:val="21"/>
          <w:highlight w:val="none"/>
        </w:rPr>
        <w:t>，并同时提供竞价保证金凭证复印件加盖公章</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报名文件请发送</w:t>
      </w:r>
      <w:r>
        <w:rPr>
          <w:rFonts w:hint="eastAsia" w:ascii="宋体" w:hAnsi="宋体" w:eastAsia="宋体" w:cs="宋体"/>
          <w:color w:val="auto"/>
          <w:kern w:val="0"/>
          <w:sz w:val="21"/>
          <w:szCs w:val="21"/>
          <w:highlight w:val="none"/>
          <w:lang w:val="en-US" w:eastAsia="zh-CN"/>
        </w:rPr>
        <w:t>1051874670@qq.com邮箱）</w:t>
      </w:r>
      <w:r>
        <w:rPr>
          <w:rFonts w:hint="eastAsia" w:ascii="宋体" w:hAnsi="宋体" w:eastAsia="宋体" w:cs="宋体"/>
          <w:bCs/>
          <w:color w:val="auto"/>
          <w:kern w:val="0"/>
          <w:sz w:val="21"/>
          <w:szCs w:val="21"/>
          <w:highlight w:val="none"/>
        </w:rPr>
        <w:t>。未按以上要求提交报名材料的竞价人，将导致其竞价资格被拒绝。</w:t>
      </w:r>
      <w:r>
        <w:rPr>
          <w:rFonts w:hint="eastAsia" w:ascii="宋体" w:hAnsi="宋体" w:eastAsia="宋体" w:cs="宋体"/>
          <w:b/>
          <w:bCs/>
          <w:color w:val="auto"/>
          <w:kern w:val="0"/>
          <w:sz w:val="21"/>
          <w:szCs w:val="21"/>
          <w:highlight w:val="none"/>
        </w:rPr>
        <w:t>（注册完成后须致电：潘华明</w:t>
      </w:r>
      <w:r>
        <w:rPr>
          <w:rFonts w:hint="eastAsia" w:ascii="宋体" w:hAnsi="宋体" w:eastAsia="宋体" w:cs="宋体"/>
          <w:b/>
          <w:bCs/>
          <w:color w:val="auto"/>
          <w:kern w:val="0"/>
          <w:sz w:val="21"/>
          <w:szCs w:val="21"/>
          <w:highlight w:val="none"/>
          <w:lang w:val="en-US" w:eastAsia="zh-CN"/>
        </w:rPr>
        <w:t>13950286270,</w:t>
      </w:r>
      <w:r>
        <w:rPr>
          <w:rFonts w:hint="eastAsia" w:ascii="宋体" w:hAnsi="宋体" w:eastAsia="宋体" w:cs="宋体"/>
          <w:b/>
          <w:bCs/>
          <w:color w:val="auto"/>
          <w:kern w:val="0"/>
          <w:sz w:val="21"/>
          <w:szCs w:val="21"/>
          <w:highlight w:val="none"/>
        </w:rPr>
        <w:t>591-83508520-8688进行审核并开放</w:t>
      </w:r>
      <w:r>
        <w:rPr>
          <w:rFonts w:hint="eastAsia" w:ascii="宋体" w:hAnsi="宋体" w:eastAsia="宋体" w:cs="宋体"/>
          <w:b/>
          <w:bCs/>
          <w:color w:val="auto"/>
          <w:kern w:val="0"/>
          <w:sz w:val="21"/>
          <w:szCs w:val="21"/>
          <w:highlight w:val="none"/>
          <w:lang w:eastAsia="zh-CN"/>
        </w:rPr>
        <w:t>该项目竞价</w:t>
      </w:r>
      <w:r>
        <w:rPr>
          <w:rFonts w:hint="eastAsia" w:ascii="宋体" w:hAnsi="宋体" w:eastAsia="宋体" w:cs="宋体"/>
          <w:b/>
          <w:bCs/>
          <w:color w:val="auto"/>
          <w:kern w:val="0"/>
          <w:sz w:val="21"/>
          <w:szCs w:val="21"/>
          <w:highlight w:val="none"/>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六</w:t>
      </w:r>
      <w:r>
        <w:rPr>
          <w:rFonts w:hint="eastAsia" w:ascii="宋体" w:hAnsi="宋体" w:eastAsia="宋体" w:cs="宋体"/>
          <w:b/>
          <w:color w:val="auto"/>
          <w:kern w:val="0"/>
          <w:szCs w:val="21"/>
          <w:highlight w:val="none"/>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1、采购代理机构将采购人提出的采购需求在中国政府采购网、</w:t>
      </w:r>
      <w:r>
        <w:rPr>
          <w:rFonts w:hint="eastAsia" w:ascii="宋体" w:hAnsi="宋体" w:eastAsia="宋体" w:cs="宋体"/>
          <w:color w:val="auto"/>
          <w:szCs w:val="21"/>
          <w:highlight w:val="none"/>
        </w:rPr>
        <w:t>福建盛鑫招标代理有限公司(http://www.fjsxzb .com)</w:t>
      </w:r>
      <w:r>
        <w:rPr>
          <w:rFonts w:hint="eastAsia" w:ascii="宋体" w:hAnsi="宋体" w:eastAsia="宋体" w:cs="宋体"/>
          <w:bCs/>
          <w:color w:val="auto"/>
          <w:kern w:val="0"/>
          <w:szCs w:val="21"/>
          <w:highlight w:val="none"/>
        </w:rPr>
        <w:t>进行发布。网上竞价的</w:t>
      </w:r>
      <w:r>
        <w:rPr>
          <w:rFonts w:hint="eastAsia" w:ascii="宋体" w:hAnsi="宋体" w:eastAsia="宋体" w:cs="宋体"/>
          <w:b/>
          <w:bCs w:val="0"/>
          <w:color w:val="auto"/>
          <w:kern w:val="0"/>
          <w:szCs w:val="21"/>
          <w:highlight w:val="none"/>
        </w:rPr>
        <w:t>报价时限为</w:t>
      </w:r>
      <w:r>
        <w:rPr>
          <w:rFonts w:hint="eastAsia" w:ascii="宋体" w:hAnsi="宋体" w:eastAsia="宋体" w:cs="宋体"/>
          <w:b/>
          <w:bCs w:val="0"/>
          <w:color w:val="auto"/>
          <w:kern w:val="0"/>
          <w:szCs w:val="21"/>
          <w:highlight w:val="none"/>
          <w:lang w:val="en-US" w:eastAsia="zh-CN"/>
        </w:rPr>
        <w:t>2024年11月18日14:00-16:00（北京时间）</w:t>
      </w:r>
      <w:r>
        <w:rPr>
          <w:rFonts w:hint="eastAsia" w:ascii="宋体" w:hAnsi="宋体" w:eastAsia="宋体" w:cs="宋体"/>
          <w:bCs/>
          <w:color w:val="auto"/>
          <w:kern w:val="0"/>
          <w:szCs w:val="21"/>
          <w:highlight w:val="none"/>
        </w:rPr>
        <w:t>，在报价时限截止前，潜在竞价人可通过</w:t>
      </w:r>
      <w:r>
        <w:rPr>
          <w:rFonts w:hint="eastAsia" w:ascii="宋体" w:hAnsi="宋体" w:eastAsia="宋体" w:cs="宋体"/>
          <w:color w:val="auto"/>
          <w:szCs w:val="21"/>
          <w:highlight w:val="none"/>
        </w:rPr>
        <w:t>福建盛鑫招标代理有限公司</w:t>
      </w:r>
      <w:r>
        <w:rPr>
          <w:rFonts w:hint="eastAsia" w:ascii="宋体" w:hAnsi="宋体" w:eastAsia="宋体" w:cs="宋体"/>
          <w:bCs/>
          <w:color w:val="auto"/>
          <w:kern w:val="0"/>
          <w:szCs w:val="21"/>
          <w:highlight w:val="none"/>
        </w:rPr>
        <w:t>官网网竞平台进行竞价</w:t>
      </w:r>
      <w:r>
        <w:rPr>
          <w:rFonts w:hint="eastAsia" w:ascii="宋体" w:hAnsi="宋体" w:eastAsia="宋体" w:cs="宋体"/>
          <w:bCs/>
          <w:color w:val="auto"/>
          <w:kern w:val="0"/>
          <w:szCs w:val="21"/>
          <w:highlight w:val="none"/>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Cs/>
          <w:color w:val="auto"/>
          <w:kern w:val="0"/>
          <w:szCs w:val="21"/>
          <w:highlight w:val="none"/>
          <w:lang w:val="en-US" w:eastAsia="zh-CN"/>
        </w:rPr>
        <w:t>2、</w:t>
      </w:r>
      <w:r>
        <w:rPr>
          <w:rFonts w:hint="eastAsia" w:ascii="宋体" w:hAnsi="宋体" w:eastAsia="宋体" w:cs="宋体"/>
          <w:b/>
          <w:bCs w:val="0"/>
          <w:color w:val="auto"/>
          <w:kern w:val="0"/>
          <w:szCs w:val="21"/>
          <w:highlight w:val="none"/>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ascii="宋体" w:hAnsi="宋体"/>
          <w:color w:val="auto"/>
          <w:kern w:val="0"/>
          <w:sz w:val="21"/>
          <w:szCs w:val="21"/>
          <w:highlight w:val="none"/>
        </w:rPr>
      </w:pPr>
      <w:r>
        <w:rPr>
          <w:rFonts w:hint="eastAsia"/>
          <w:color w:val="auto"/>
          <w:szCs w:val="21"/>
          <w:highlight w:val="none"/>
          <w:lang w:val="en-US" w:eastAsia="zh-CN"/>
        </w:rPr>
        <w:t>5、</w:t>
      </w:r>
      <w:r>
        <w:rPr>
          <w:rStyle w:val="8"/>
          <w:rFonts w:ascii="宋体" w:hAnsi="宋体"/>
          <w:color w:val="auto"/>
          <w:kern w:val="0"/>
          <w:sz w:val="21"/>
          <w:szCs w:val="21"/>
          <w:highlight w:val="none"/>
        </w:rPr>
        <w:t>有下列情形之一的，视为竞价人相互串通竞价</w:t>
      </w:r>
      <w:r>
        <w:rPr>
          <w:rStyle w:val="8"/>
          <w:rFonts w:hint="eastAsia" w:ascii="宋体" w:hAnsi="宋体"/>
          <w:color w:val="auto"/>
          <w:kern w:val="0"/>
          <w:sz w:val="21"/>
          <w:szCs w:val="21"/>
          <w:highlight w:val="none"/>
        </w:rPr>
        <w:t>，其竞价结果无效</w:t>
      </w:r>
      <w:r>
        <w:rPr>
          <w:rStyle w:val="8"/>
          <w:rFonts w:ascii="宋体" w:hAnsi="宋体"/>
          <w:color w:val="auto"/>
          <w:kern w:val="0"/>
          <w:sz w:val="21"/>
          <w:szCs w:val="21"/>
          <w:highlight w:val="none"/>
        </w:rPr>
        <w:t>:</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8"/>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eastAsia="zh-CN"/>
        </w:rPr>
        <w:t>九、</w:t>
      </w:r>
      <w:r>
        <w:rPr>
          <w:rFonts w:hint="eastAsia" w:ascii="宋体" w:hAnsi="宋体" w:eastAsia="宋体" w:cs="宋体"/>
          <w:b/>
          <w:bCs w:val="0"/>
          <w:color w:val="auto"/>
          <w:kern w:val="0"/>
          <w:szCs w:val="21"/>
          <w:highlight w:val="none"/>
        </w:rPr>
        <w:t>竞价保证金</w:t>
      </w:r>
      <w:r>
        <w:rPr>
          <w:rFonts w:hint="eastAsia" w:ascii="宋体" w:hAnsi="宋体" w:eastAsia="宋体" w:cs="宋体"/>
          <w:bCs/>
          <w:color w:val="auto"/>
          <w:kern w:val="0"/>
          <w:szCs w:val="21"/>
          <w:highlight w:val="none"/>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en-US" w:eastAsia="zh-CN"/>
        </w:rPr>
        <w:t>1、本次</w:t>
      </w:r>
      <w:r>
        <w:rPr>
          <w:rFonts w:hint="eastAsia" w:ascii="宋体" w:hAnsi="宋体" w:eastAsia="宋体" w:cs="宋体"/>
          <w:b/>
          <w:bCs w:val="0"/>
          <w:color w:val="auto"/>
          <w:kern w:val="0"/>
          <w:szCs w:val="21"/>
          <w:highlight w:val="none"/>
          <w:lang w:val="en-US" w:eastAsia="zh-CN"/>
        </w:rPr>
        <w:t>竞价保证金</w:t>
      </w:r>
      <w:r>
        <w:rPr>
          <w:rFonts w:hint="eastAsia" w:ascii="宋体" w:hAnsi="宋体" w:eastAsia="宋体" w:cs="宋体"/>
          <w:b/>
          <w:bCs w:val="0"/>
          <w:color w:val="auto"/>
          <w:kern w:val="0"/>
          <w:szCs w:val="21"/>
          <w:highlight w:val="none"/>
        </w:rPr>
        <w:t>人民币</w:t>
      </w:r>
      <w:r>
        <w:rPr>
          <w:rFonts w:hint="eastAsia" w:ascii="宋体" w:hAnsi="宋体" w:eastAsia="宋体" w:cs="宋体"/>
          <w:b/>
          <w:bCs w:val="0"/>
          <w:color w:val="auto"/>
          <w:kern w:val="0"/>
          <w:szCs w:val="21"/>
          <w:highlight w:val="none"/>
          <w:lang w:val="en-US" w:eastAsia="zh-CN"/>
        </w:rPr>
        <w:t>800.00</w:t>
      </w:r>
      <w:r>
        <w:rPr>
          <w:rFonts w:hint="eastAsia" w:ascii="宋体" w:hAnsi="宋体" w:eastAsia="宋体" w:cs="宋体"/>
          <w:b/>
          <w:bCs w:val="0"/>
          <w:color w:val="auto"/>
          <w:kern w:val="0"/>
          <w:szCs w:val="21"/>
          <w:highlight w:val="none"/>
        </w:rPr>
        <w:t>元整</w:t>
      </w:r>
      <w:r>
        <w:rPr>
          <w:rFonts w:hint="eastAsia" w:ascii="宋体" w:hAnsi="宋体" w:eastAsia="宋体" w:cs="宋体"/>
          <w:bCs/>
          <w:color w:val="auto"/>
          <w:kern w:val="0"/>
          <w:szCs w:val="21"/>
          <w:highlight w:val="none"/>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highlight w:val="none"/>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br w:type="page"/>
      </w:r>
      <w:bookmarkStart w:id="9" w:name="_Toc19561"/>
      <w:r>
        <w:rPr>
          <w:rFonts w:hint="eastAsia" w:ascii="宋体" w:hAnsi="宋体" w:eastAsia="宋体" w:cs="宋体"/>
          <w:b/>
          <w:bCs/>
          <w:color w:val="auto"/>
          <w:kern w:val="0"/>
          <w:sz w:val="21"/>
          <w:szCs w:val="21"/>
          <w:highlight w:val="none"/>
          <w:lang w:eastAsia="zh-CN"/>
        </w:rPr>
        <w:t>第二部分</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 w:hRule="atLeast"/>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rPr>
            </w:pPr>
            <w:r>
              <w:rPr>
                <w:rFonts w:hint="default" w:ascii="宋体" w:hAnsi="宋体" w:eastAsia="宋体" w:cs="宋体"/>
                <w:color w:val="auto"/>
                <w:kern w:val="0"/>
                <w:sz w:val="21"/>
                <w:szCs w:val="21"/>
                <w:highlight w:val="none"/>
                <w:lang w:val="en-US" w:eastAsia="zh-CN"/>
              </w:rPr>
              <w:t>福州职业技术学院购买校园治安巡逻车项目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49800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sz w:val="21"/>
                <w:szCs w:val="21"/>
                <w:highlight w:val="none"/>
                <w:lang w:val="en-US" w:eastAsia="zh-CN"/>
              </w:rPr>
              <w:t>49800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肆万玖仟捌佰元</w:t>
            </w:r>
            <w:r>
              <w:rPr>
                <w:rFonts w:hint="eastAsia" w:ascii="宋体" w:hAnsi="宋体" w:eastAsia="宋体" w:cs="宋体"/>
                <w:color w:val="auto"/>
                <w:kern w:val="0"/>
                <w:sz w:val="21"/>
                <w:szCs w:val="21"/>
                <w:highlight w:val="none"/>
                <w:lang w:eastAsia="zh-CN"/>
              </w:rPr>
              <w:t>整（￥</w:t>
            </w:r>
            <w:r>
              <w:rPr>
                <w:rFonts w:hint="default" w:ascii="宋体" w:hAnsi="宋体" w:eastAsia="宋体" w:cs="宋体"/>
                <w:color w:val="auto"/>
                <w:sz w:val="21"/>
                <w:szCs w:val="21"/>
                <w:highlight w:val="none"/>
                <w:lang w:val="en-US" w:eastAsia="zh-CN"/>
              </w:rPr>
              <w:t>49800</w:t>
            </w:r>
            <w:r>
              <w:rPr>
                <w:rFonts w:hint="eastAsia" w:ascii="宋体" w:hAnsi="宋体" w:eastAsia="宋体" w:cs="宋体"/>
                <w:color w:val="auto"/>
                <w:kern w:val="0"/>
                <w:sz w:val="21"/>
                <w:szCs w:val="21"/>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rHeight w:val="90" w:hRule="atLeast"/>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color w:val="auto"/>
                <w:kern w:val="0"/>
                <w:sz w:val="21"/>
                <w:szCs w:val="21"/>
                <w:highlight w:val="none"/>
              </w:rPr>
              <w:t>。</w:t>
            </w:r>
          </w:p>
        </w:tc>
      </w:tr>
    </w:tbl>
    <w:p>
      <w:pPr>
        <w:pStyle w:val="9"/>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2、5座电动巡逻车技术参数与配置详见附件。</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2、交付时间：合同签订后30天内完成供货。</w:t>
      </w:r>
    </w:p>
    <w:p>
      <w:pPr>
        <w:pStyle w:val="10"/>
        <w:keepNext w:val="0"/>
        <w:keepLines w:val="0"/>
        <w:pageBreakBefore w:val="0"/>
        <w:kinsoku/>
        <w:wordWrap/>
        <w:overflowPunct/>
        <w:topLinePunct w:val="0"/>
        <w:bidi w:val="0"/>
        <w:adjustRightInd/>
        <w:snapToGrid/>
        <w:spacing w:line="36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3.1全部货物交货经安装调试，并经验收合格后，15个工作日内采购人凭收讫货物的验收凭证和货物验收合格文件等材料以转账方式向供应商一次性支付100%的货物价款。</w:t>
      </w:r>
    </w:p>
    <w:p>
      <w:pPr>
        <w:pStyle w:val="9"/>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.2付款条件：</w:t>
      </w:r>
      <w:r>
        <w:rPr>
          <w:rFonts w:hint="eastAsia" w:ascii="宋体" w:hAnsi="宋体" w:eastAsia="宋体" w:cs="宋体"/>
          <w:color w:val="auto"/>
          <w:sz w:val="21"/>
          <w:szCs w:val="21"/>
          <w:highlight w:val="none"/>
        </w:rPr>
        <w:t>金额为有关合同货物价格100%的正式发票。</w:t>
      </w:r>
    </w:p>
    <w:p>
      <w:pPr>
        <w:tabs>
          <w:tab w:val="left" w:pos="900"/>
          <w:tab w:val="left" w:pos="1100"/>
        </w:tabs>
        <w:spacing w:line="36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4、保修期：</w:t>
      </w:r>
    </w:p>
    <w:p>
      <w:pPr>
        <w:tabs>
          <w:tab w:val="left" w:pos="900"/>
          <w:tab w:val="left" w:pos="1100"/>
        </w:tabs>
        <w:spacing w:line="36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4.1易损件质保三个月伍仟公里；</w:t>
      </w:r>
    </w:p>
    <w:p>
      <w:pPr>
        <w:tabs>
          <w:tab w:val="left" w:pos="900"/>
          <w:tab w:val="left" w:pos="1100"/>
        </w:tabs>
        <w:spacing w:line="36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4.2铅酸电池质保一年两万公里、锂电池质保五年拾万公里；</w:t>
      </w:r>
    </w:p>
    <w:p>
      <w:pPr>
        <w:tabs>
          <w:tab w:val="left" w:pos="900"/>
          <w:tab w:val="left" w:pos="1100"/>
        </w:tabs>
        <w:spacing w:line="36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4.3电机电控质保两年两万公里；</w:t>
      </w:r>
    </w:p>
    <w:p>
      <w:pPr>
        <w:tabs>
          <w:tab w:val="left" w:pos="900"/>
          <w:tab w:val="left" w:pos="1100"/>
        </w:tabs>
        <w:spacing w:line="36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4.4大梁、后桥、半轴、方向机、前面减震器、安全带质保五年五万公里（从货到验收合格之日起算）。</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5、验收要求： </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5.1到货验收：货物送至采购人安装现场后，成交人和采购人一同拆箱，对其全部货物、零件、配件的型号、规格、数量、外型、外观、包装进行到货验收。成交人应负责在项目验收时将系统的全部有关技术文件、资料、及安装、测试报告等文档汇集成册交付项目单位</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5.2试运行：成交人应对货物的整体性能和功能进行自检，自检结果必须符合招标文件要求及合同中的相关条款，自检合格后，转入为期 7 天的试运行。试运行结束后，成交人应向采购人提交自检记录和试运行记录，并提出验收申请。</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5.3最终验收</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采购人在收到成交人的验收申请后15 个工作日内，采购人和成交人共同进行设备的验收。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6、售后服务要求：（响应时间、培训）</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6.1成交人需在福州市区具有自有式或者签约式售后服务站（二类以上修理厂，提供营业执照资质）。</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6.2保修期内如果不能按质保条款履约的，成交人需承担违约法律责任。</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6.3产品终身服务,保修期内上门服务, 赠送三年保险，第三者50万，车上人员每座10万。</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6.4第一次首保（三个月或者两千公里）上门服务；</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6.5车辆验收合格之日起售后服务按保修期限,上门维修检测。</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6.6建立系统化的售后管理档案，便于动态了解用户车辆维护状况，保持车辆正常使用状况。</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6.7免费为车辆驾驶人员进行驾驶技能的培训,培训至少一名。</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6.8为了使车辆保持良好的行驶状态，验收合格后一年内每季度上门对车辆进行一次检修和保养。</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6.9提供远程故障诊断技术支持：</w:t>
      </w:r>
    </w:p>
    <w:p>
      <w:pPr>
        <w:tabs>
          <w:tab w:val="left" w:pos="900"/>
          <w:tab w:val="left" w:pos="1100"/>
        </w:tabs>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6.9.1在收到故障通知后1小时内响应，先通过电话，传真，EMAIL的方式处理问题。</w:t>
      </w:r>
    </w:p>
    <w:p>
      <w:pPr>
        <w:tabs>
          <w:tab w:val="left" w:pos="900"/>
          <w:tab w:val="left" w:pos="1100"/>
        </w:tabs>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6.9.2如通过远程指导无法解决故障问题，接到通知后24小时内到达进行现场检修。</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6.10在保修期间所有设备的检定或校准费用均由成交人承担。</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7、违约责任：</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7.1交货不符合约定或存在缺陷的</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成交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7.1.1采购人要求退货并解除合同的，成交人应承担因退货而发生的一切损失和费用，包括利息、银行手续费、运费、保险费、检验费、仓储费、装卸费以及为保管、维护和退回被拒收货物所发生的其它必要费用，且还应向采购人支付合同金额 5 %的违约金。</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7.1.2</w:t>
      </w:r>
      <w:commentRangeStart w:id="0"/>
      <w:r>
        <w:rPr>
          <w:rFonts w:hint="eastAsia" w:ascii="宋体" w:hAnsi="宋体" w:eastAsia="宋体" w:cs="宋体"/>
          <w:b w:val="0"/>
          <w:color w:val="auto"/>
          <w:sz w:val="21"/>
          <w:szCs w:val="21"/>
          <w:highlight w:val="none"/>
          <w:lang w:val="en-US" w:eastAsia="zh-CN"/>
        </w:rPr>
        <w:t>成交人收到采购人书面索赔通知后 5天内，未给采购人答复的，视为索赔已被成交人接受。</w:t>
      </w:r>
      <w:commentRangeEnd w:id="0"/>
      <w:r>
        <w:rPr>
          <w:rFonts w:hint="eastAsia" w:ascii="宋体" w:hAnsi="宋体" w:eastAsia="宋体" w:cs="宋体"/>
          <w:color w:val="auto"/>
          <w:highlight w:val="none"/>
        </w:rPr>
        <w:commentReference w:id="0"/>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7.2逾期交货及逾期付款的赔偿</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7.2.1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 1 ％/天计算，逾期期限一旦达到 30天，采购人有权解除合同，且成交人仍应按合同约定支付违约金。违约金的支付不影响采购人向成交人要求损害赔偿。</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7.2.2成交人未按约定提供售后服务、购买保险或给第三方造成损害的：</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7.2.2.1如果成交人未能按照合同约定的时间提供售后服务的，每逾期1天，成交人应向采购人支付合同总额 2 ％的违约金，若因此给采购人造成损失的，成交人还应赔偿采购人所受的损失。</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保修期内，成交人未尽保修义务的，采购人可自行寻求解决，成交人应承担自采购人提出故障申告至采购人自行解决相应故障期间内的违约金并赔偿采购人损失，采购人由此产生的费用，由成交人承担。</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7.2.2.2如果成交人未按约定购买保险的，除应继续履行购买保险的义务外，还应按照本合同总额的5 %支付违约金。</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7.2.3采购人逾期付款的（有正当拒付理由的除外）应按照逾期金额的每日0.5％支付逾期付款违约金。</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7.3因成交人管理不当，致使货物的生产、包装、仓储、运输、装卸、安装、调试及验收过程中导致第三方权益受损的（如安全事故），成交人除应赔偿第三方相应的损失外，还应向采购人支付本合同总额 5 %的违约金。</w:t>
      </w:r>
    </w:p>
    <w:p>
      <w:pPr>
        <w:tabs>
          <w:tab w:val="left" w:pos="900"/>
          <w:tab w:val="left" w:pos="1100"/>
        </w:tabs>
        <w:spacing w:line="360" w:lineRule="auto"/>
        <w:ind w:firstLine="411" w:firstLineChars="196"/>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7.4.产品在安装及后续运行过程中，若因为产品质量问题导致人员受伤，相关责任由成交人承担，若因此造成采购人损失的，采购人有权向成交人要求赔偿（包括但不限于赔偿损失、诉讼费、律师费等）。</w:t>
      </w:r>
    </w:p>
    <w:p>
      <w:pPr>
        <w:pageBreakBefore w:val="0"/>
        <w:kinsoku/>
        <w:wordWrap/>
        <w:overflowPunct/>
        <w:topLinePunct w:val="0"/>
        <w:bidi w:val="0"/>
        <w:adjustRightInd/>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60" w:lineRule="auto"/>
        <w:ind w:firstLine="420" w:firstLineChars="200"/>
        <w:jc w:val="righ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福建盛鑫招标代理有限公司</w:t>
      </w:r>
    </w:p>
    <w:p>
      <w:pPr>
        <w:keepNext w:val="0"/>
        <w:keepLines w:val="0"/>
        <w:pageBreakBefore w:val="0"/>
        <w:widowControl/>
        <w:kinsoku/>
        <w:overflowPunct/>
        <w:topLinePunct w:val="0"/>
        <w:autoSpaceDE/>
        <w:autoSpaceDN/>
        <w:bidi w:val="0"/>
        <w:adjustRightInd/>
        <w:spacing w:line="360" w:lineRule="auto"/>
        <w:ind w:firstLine="422" w:firstLineChars="200"/>
        <w:jc w:val="righ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202</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年</w:t>
      </w:r>
      <w:r>
        <w:rPr>
          <w:rFonts w:hint="eastAsia" w:ascii="宋体" w:hAnsi="宋体" w:eastAsia="宋体" w:cs="宋体"/>
          <w:b/>
          <w:color w:val="auto"/>
          <w:kern w:val="0"/>
          <w:szCs w:val="21"/>
          <w:highlight w:val="none"/>
          <w:lang w:val="en-US" w:eastAsia="zh-CN"/>
        </w:rPr>
        <w:t>11</w:t>
      </w:r>
      <w:r>
        <w:rPr>
          <w:rFonts w:hint="eastAsia" w:ascii="宋体" w:hAnsi="宋体" w:eastAsia="宋体" w:cs="宋体"/>
          <w:b/>
          <w:color w:val="auto"/>
          <w:kern w:val="0"/>
          <w:szCs w:val="21"/>
          <w:highlight w:val="none"/>
        </w:rPr>
        <w:t>月</w:t>
      </w:r>
      <w:r>
        <w:rPr>
          <w:rFonts w:hint="eastAsia" w:ascii="宋体" w:hAnsi="宋体" w:eastAsia="宋体" w:cs="宋体"/>
          <w:b/>
          <w:color w:val="auto"/>
          <w:kern w:val="0"/>
          <w:szCs w:val="21"/>
          <w:highlight w:val="none"/>
          <w:lang w:val="en-US" w:eastAsia="zh-CN"/>
        </w:rPr>
        <w:t>12</w:t>
      </w:r>
      <w:r>
        <w:rPr>
          <w:rFonts w:hint="eastAsia" w:ascii="宋体" w:hAnsi="宋体" w:eastAsia="宋体" w:cs="宋体"/>
          <w:b/>
          <w:color w:val="auto"/>
          <w:kern w:val="0"/>
          <w:szCs w:val="21"/>
          <w:highlight w:val="none"/>
        </w:rPr>
        <w:t>日</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cs="宋体"/>
          <w:b/>
          <w:color w:val="auto"/>
          <w:kern w:val="0"/>
          <w:szCs w:val="21"/>
          <w:highlight w:val="none"/>
          <w:lang w:val="en-US" w:eastAsia="zh-CN"/>
        </w:rPr>
      </w:pPr>
      <w:r>
        <w:rPr>
          <w:rFonts w:hint="eastAsia" w:ascii="宋体" w:hAnsi="宋体" w:cs="宋体"/>
          <w:b/>
          <w:color w:val="auto"/>
          <w:kern w:val="0"/>
          <w:szCs w:val="21"/>
          <w:highlight w:val="none"/>
        </w:rPr>
        <w:br w:type="page"/>
      </w:r>
      <w:r>
        <w:rPr>
          <w:rFonts w:hint="eastAsia" w:ascii="宋体" w:hAnsi="宋体" w:cs="宋体"/>
          <w:b/>
          <w:color w:val="auto"/>
          <w:kern w:val="0"/>
          <w:szCs w:val="21"/>
          <w:highlight w:val="none"/>
          <w:lang w:val="en-US" w:eastAsia="zh-CN"/>
        </w:rPr>
        <w:t>附件</w:t>
      </w:r>
    </w:p>
    <w:p>
      <w:pPr>
        <w:spacing w:line="120" w:lineRule="auto"/>
        <w:jc w:val="center"/>
        <w:rPr>
          <w:rFonts w:ascii="黑体" w:hAnsi="黑体" w:eastAsia="黑体" w:cs="宋体"/>
          <w:bCs/>
          <w:color w:val="auto"/>
          <w:sz w:val="44"/>
          <w:szCs w:val="44"/>
          <w:highlight w:val="none"/>
        </w:rPr>
      </w:pPr>
      <w:r>
        <w:rPr>
          <w:rFonts w:hint="eastAsia" w:ascii="黑体" w:hAnsi="黑体" w:eastAsia="黑体" w:cs="宋体"/>
          <w:bCs/>
          <w:color w:val="auto"/>
          <w:sz w:val="44"/>
          <w:szCs w:val="44"/>
          <w:highlight w:val="none"/>
        </w:rPr>
        <w:t>5座电动巡逻车技术参数与配置</w:t>
      </w:r>
    </w:p>
    <w:tbl>
      <w:tblPr>
        <w:tblStyle w:val="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235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4300" w:type="dxa"/>
            <w:gridSpan w:val="2"/>
            <w:noWrap w:val="0"/>
            <w:vAlign w:val="center"/>
          </w:tcPr>
          <w:p>
            <w:pPr>
              <w:widowControl/>
              <w:jc w:val="center"/>
              <w:rPr>
                <w:rFonts w:ascii="宋体" w:hAnsi="宋体" w:cs="宋体"/>
                <w:bCs/>
                <w:color w:val="auto"/>
                <w:kern w:val="0"/>
                <w:sz w:val="24"/>
                <w:highlight w:val="none"/>
              </w:rPr>
            </w:pPr>
            <w:r>
              <w:rPr>
                <w:color w:val="auto"/>
                <w:sz w:val="32"/>
                <w:szCs w:val="32"/>
                <w:highlight w:val="none"/>
              </w:rPr>
              <w:drawing>
                <wp:anchor distT="0" distB="0" distL="114300" distR="114300" simplePos="0" relativeHeight="251659264" behindDoc="0" locked="0" layoutInCell="1" allowOverlap="1">
                  <wp:simplePos x="0" y="0"/>
                  <wp:positionH relativeFrom="column">
                    <wp:posOffset>-45085</wp:posOffset>
                  </wp:positionH>
                  <wp:positionV relativeFrom="paragraph">
                    <wp:posOffset>-38735</wp:posOffset>
                  </wp:positionV>
                  <wp:extent cx="2677795" cy="2008505"/>
                  <wp:effectExtent l="0" t="0" r="4445" b="3175"/>
                  <wp:wrapNone/>
                  <wp:docPr id="1" name="图片 2" descr="G:\微信文件\WeChat Files\wxid_d6q47sgrlysr12\FileStorage\Temp\c3cca69be68d798faece63065c106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微信文件\WeChat Files\wxid_d6q47sgrlysr12\FileStorage\Temp\c3cca69be68d798faece63065c106ea.jpg"/>
                          <pic:cNvPicPr>
                            <a:picLocks noChangeAspect="1"/>
                          </pic:cNvPicPr>
                        </pic:nvPicPr>
                        <pic:blipFill>
                          <a:blip r:embed="rId6"/>
                          <a:stretch>
                            <a:fillRect/>
                          </a:stretch>
                        </pic:blipFill>
                        <pic:spPr>
                          <a:xfrm>
                            <a:off x="0" y="0"/>
                            <a:ext cx="2677795" cy="2008505"/>
                          </a:xfrm>
                          <a:prstGeom prst="rect">
                            <a:avLst/>
                          </a:prstGeom>
                          <a:noFill/>
                          <a:ln>
                            <a:noFill/>
                          </a:ln>
                        </pic:spPr>
                      </pic:pic>
                    </a:graphicData>
                  </a:graphic>
                </wp:anchor>
              </w:drawing>
            </w:r>
          </w:p>
        </w:tc>
        <w:tc>
          <w:tcPr>
            <w:tcW w:w="4464" w:type="dxa"/>
            <w:noWrap w:val="0"/>
            <w:vAlign w:val="center"/>
          </w:tcPr>
          <w:p>
            <w:pPr>
              <w:widowControl/>
              <w:jc w:val="both"/>
              <w:rPr>
                <w:rFonts w:ascii="宋体" w:hAnsi="宋体" w:cs="宋体"/>
                <w:bCs/>
                <w:color w:val="auto"/>
                <w:kern w:val="0"/>
                <w:sz w:val="24"/>
                <w:highlight w:val="none"/>
              </w:rPr>
            </w:pPr>
            <w:r>
              <w:rPr>
                <w:color w:val="auto"/>
                <w:highlight w:val="none"/>
              </w:rPr>
              <w:drawing>
                <wp:anchor distT="0" distB="0" distL="114300" distR="114300" simplePos="0" relativeHeight="251660288" behindDoc="0" locked="0" layoutInCell="1" allowOverlap="1">
                  <wp:simplePos x="0" y="0"/>
                  <wp:positionH relativeFrom="column">
                    <wp:posOffset>-19050</wp:posOffset>
                  </wp:positionH>
                  <wp:positionV relativeFrom="paragraph">
                    <wp:posOffset>30480</wp:posOffset>
                  </wp:positionV>
                  <wp:extent cx="2531110" cy="2059305"/>
                  <wp:effectExtent l="0" t="0" r="13970"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531110" cy="20593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00" w:type="dxa"/>
            <w:gridSpan w:val="2"/>
            <w:noWrap w:val="0"/>
            <w:vAlign w:val="center"/>
          </w:tcPr>
          <w:p>
            <w:pPr>
              <w:pStyle w:val="3"/>
              <w:numPr>
                <w:ilvl w:val="0"/>
                <w:numId w:val="0"/>
              </w:numPr>
              <w:jc w:val="center"/>
              <w:rPr>
                <w:b w:val="0"/>
                <w:color w:val="auto"/>
                <w:sz w:val="18"/>
                <w:szCs w:val="18"/>
                <w:highlight w:val="none"/>
              </w:rPr>
            </w:pPr>
            <w:r>
              <w:rPr>
                <w:rFonts w:hint="eastAsia"/>
                <w:b w:val="0"/>
                <w:color w:val="auto"/>
                <w:sz w:val="18"/>
                <w:szCs w:val="18"/>
                <w:highlight w:val="none"/>
              </w:rPr>
              <w:t>主要技术参数</w:t>
            </w:r>
          </w:p>
        </w:tc>
        <w:tc>
          <w:tcPr>
            <w:tcW w:w="4464" w:type="dxa"/>
            <w:noWrap w:val="0"/>
            <w:vAlign w:val="center"/>
          </w:tcPr>
          <w:p>
            <w:pPr>
              <w:ind w:left="-2" w:leftChars="-1" w:firstLine="2"/>
              <w:jc w:val="center"/>
              <w:rPr>
                <w:rFonts w:ascii="宋体" w:hAnsi="宋体" w:cs="宋体"/>
                <w:bCs/>
                <w:color w:val="auto"/>
                <w:sz w:val="18"/>
                <w:szCs w:val="18"/>
                <w:highlight w:val="none"/>
              </w:rPr>
            </w:pPr>
            <w:r>
              <w:rPr>
                <w:rFonts w:ascii="宋体" w:hAnsi="宋体" w:cs="宋体"/>
                <w:bCs/>
                <w:color w:val="auto"/>
                <w:sz w:val="18"/>
                <w:szCs w:val="1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载客数：</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≥5人</w:t>
            </w:r>
          </w:p>
        </w:tc>
        <w:tc>
          <w:tcPr>
            <w:tcW w:w="4464" w:type="dxa"/>
            <w:vMerge w:val="restart"/>
            <w:noWrap w:val="0"/>
            <w:vAlign w:val="center"/>
          </w:tcPr>
          <w:p>
            <w:pPr>
              <w:spacing w:line="350" w:lineRule="exact"/>
              <w:textAlignment w:val="baseline"/>
              <w:rPr>
                <w:rFonts w:ascii="宋体" w:hAnsi="宋体" w:cs="宋体"/>
                <w:b/>
                <w:bCs w:val="0"/>
                <w:color w:val="auto"/>
                <w:sz w:val="18"/>
                <w:szCs w:val="18"/>
                <w:highlight w:val="none"/>
              </w:rPr>
            </w:pPr>
            <w:r>
              <w:rPr>
                <w:rFonts w:hint="eastAsia" w:ascii="宋体" w:hAnsi="宋体" w:cs="宋体"/>
                <w:b/>
                <w:bCs w:val="0"/>
                <w:color w:val="auto"/>
                <w:sz w:val="18"/>
                <w:szCs w:val="18"/>
                <w:highlight w:val="none"/>
              </w:rPr>
              <w:t>1.车身：笼式钢结构、焊接钢质骨架车身、提供该产品笼式成品照片；</w:t>
            </w:r>
          </w:p>
          <w:p>
            <w:pPr>
              <w:spacing w:line="350" w:lineRule="exact"/>
              <w:textAlignment w:val="baseline"/>
              <w:rPr>
                <w:rFonts w:ascii="宋体" w:hAnsi="宋体" w:cs="宋体"/>
                <w:b/>
                <w:bCs w:val="0"/>
                <w:color w:val="auto"/>
                <w:sz w:val="18"/>
                <w:szCs w:val="18"/>
                <w:highlight w:val="none"/>
              </w:rPr>
            </w:pPr>
            <w:r>
              <w:rPr>
                <w:rFonts w:hint="eastAsia" w:ascii="宋体" w:hAnsi="宋体" w:cs="宋体"/>
                <w:b/>
                <w:bCs w:val="0"/>
                <w:color w:val="auto"/>
                <w:sz w:val="18"/>
                <w:szCs w:val="18"/>
                <w:highlight w:val="none"/>
              </w:rPr>
              <w:t>2.底盘：防锈电泳烤漆处理，经磷化水洗跟酸洗，提供阴极电泳照片</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3.前挡风玻璃 ：钢化玻璃；</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4.顶棚：冲压带槽加强型钢质钣金顶棚；</w:t>
            </w:r>
          </w:p>
          <w:p>
            <w:pPr>
              <w:spacing w:line="350" w:lineRule="exact"/>
              <w:textAlignment w:val="baseline"/>
              <w:rPr>
                <w:rFonts w:ascii="宋体" w:hAnsi="宋体" w:cs="宋体"/>
                <w:b/>
                <w:bCs w:val="0"/>
                <w:color w:val="auto"/>
                <w:sz w:val="18"/>
                <w:szCs w:val="18"/>
                <w:highlight w:val="none"/>
              </w:rPr>
            </w:pPr>
            <w:r>
              <w:rPr>
                <w:rFonts w:hint="eastAsia" w:ascii="宋体" w:hAnsi="宋体" w:cs="宋体"/>
                <w:b/>
                <w:bCs w:val="0"/>
                <w:color w:val="auto"/>
                <w:sz w:val="18"/>
                <w:szCs w:val="18"/>
                <w:highlight w:val="none"/>
              </w:rPr>
              <w:t>5.座椅：高分子塑料座椅，提供座椅助燃报告；</w:t>
            </w:r>
          </w:p>
          <w:p>
            <w:pPr>
              <w:spacing w:line="350" w:lineRule="exact"/>
              <w:textAlignment w:val="baseline"/>
              <w:rPr>
                <w:rFonts w:ascii="宋体" w:hAnsi="宋体" w:cs="宋体"/>
                <w:b/>
                <w:bCs w:val="0"/>
                <w:color w:val="auto"/>
                <w:sz w:val="18"/>
                <w:szCs w:val="18"/>
                <w:highlight w:val="none"/>
              </w:rPr>
            </w:pPr>
            <w:r>
              <w:rPr>
                <w:rFonts w:hint="eastAsia" w:ascii="宋体" w:hAnsi="宋体" w:cs="宋体"/>
                <w:b/>
                <w:bCs w:val="0"/>
                <w:color w:val="auto"/>
                <w:sz w:val="18"/>
                <w:szCs w:val="18"/>
                <w:highlight w:val="none"/>
              </w:rPr>
              <w:t>6.仪表台：组合仪表、前进后退指示仪，车内含有电池容量表与电量指示仪，翘板式换挡结构，提供仪表阻燃报告；</w:t>
            </w:r>
          </w:p>
          <w:p>
            <w:pPr>
              <w:spacing w:line="350" w:lineRule="exact"/>
              <w:textAlignment w:val="baseline"/>
              <w:rPr>
                <w:rFonts w:ascii="宋体" w:hAnsi="宋体" w:cs="宋体"/>
                <w:b/>
                <w:bCs w:val="0"/>
                <w:color w:val="auto"/>
                <w:sz w:val="18"/>
                <w:szCs w:val="18"/>
                <w:highlight w:val="none"/>
              </w:rPr>
            </w:pPr>
            <w:r>
              <w:rPr>
                <w:rFonts w:hint="eastAsia" w:ascii="宋体" w:hAnsi="宋体" w:cs="宋体"/>
                <w:b/>
                <w:bCs w:val="0"/>
                <w:color w:val="auto"/>
                <w:sz w:val="18"/>
                <w:szCs w:val="18"/>
                <w:highlight w:val="none"/>
              </w:rPr>
              <w:t>7.钢铁材质为汽车专用钢材、并提供材质证明；</w:t>
            </w:r>
          </w:p>
          <w:p>
            <w:pPr>
              <w:spacing w:line="350" w:lineRule="exact"/>
              <w:textAlignment w:val="baseline"/>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8.前盘后鼔的制动器，配双回路感载比例阀，依据QC/T564-2008制动器检测要求制动力矩前制动器在1510N.m以上，后轮制动器在810N.m以上；</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9.地板：汽车地板革；</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10.灯光/喇叭：前大灯、前小灯、转向灯、倒车灯、刹车灯、电喇叭、LED警灯和喊话器；</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11.电机：交流电机，牵引性能优越，过载能力强，功率为5KW交流；</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12.电池：免维护电池，电池组电压：48V，电池标称容量：150AH；</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13.电控系统：具有过温过载保护电路的功能；</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14.充电装置：全自动脉冲式微电脑智能充电机，充满电后自动停止；</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15.悬挂系统：前悬挂麦弗逊独立悬挂，后悬挂为多片钢板弹簧，筒式液压减震器；</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16.制动系统：电动真空助力刹车，液压双管路制动系统，前碟后鼓车轮制动器，手提式机械式驻车制动；</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17.方向系统：电动助力方向，齿轮齿条式转向系统，双输出方轮胎形式：</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18.轮胎形式：汽车专用轮胎，165/70 /13</w:t>
            </w:r>
            <w:r>
              <w:rPr>
                <w:rFonts w:ascii="宋体" w:hAnsi="宋体" w:cs="宋体"/>
                <w:bCs/>
                <w:color w:val="auto"/>
                <w:sz w:val="18"/>
                <w:szCs w:val="18"/>
                <w:highlight w:val="none"/>
              </w:rPr>
              <w:t xml:space="preserve"> </w:t>
            </w:r>
            <w:r>
              <w:rPr>
                <w:rFonts w:hint="eastAsia" w:ascii="宋体" w:hAnsi="宋体" w:cs="宋体"/>
                <w:bCs/>
                <w:color w:val="auto"/>
                <w:sz w:val="18"/>
                <w:szCs w:val="18"/>
                <w:highlight w:val="none"/>
              </w:rPr>
              <w:t>；</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19.前排配翻转扶手；</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20.前后保险杠可拆卸方便维修；</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21.后面尾箱可开启存放物料；</w:t>
            </w:r>
          </w:p>
          <w:p>
            <w:pPr>
              <w:spacing w:line="350" w:lineRule="exact"/>
              <w:textAlignment w:val="baseline"/>
              <w:rPr>
                <w:rFonts w:ascii="宋体" w:hAnsi="宋体" w:cs="宋体"/>
                <w:bCs/>
                <w:color w:val="auto"/>
                <w:sz w:val="18"/>
                <w:szCs w:val="18"/>
                <w:highlight w:val="none"/>
              </w:rPr>
            </w:pPr>
            <w:r>
              <w:rPr>
                <w:rFonts w:hint="eastAsia" w:ascii="宋体" w:hAnsi="宋体" w:cs="宋体"/>
                <w:bCs/>
                <w:color w:val="auto"/>
                <w:sz w:val="18"/>
                <w:szCs w:val="18"/>
                <w:highlight w:val="none"/>
              </w:rPr>
              <w:t>22.铝合金电池箱；</w:t>
            </w:r>
          </w:p>
          <w:p>
            <w:pPr>
              <w:spacing w:line="350" w:lineRule="exact"/>
              <w:textAlignment w:val="baseline"/>
              <w:rPr>
                <w:rFonts w:hint="eastAsia" w:ascii="宋体" w:hAnsi="宋体" w:eastAsia="宋体" w:cs="宋体"/>
                <w:bCs/>
                <w:color w:val="auto"/>
                <w:sz w:val="18"/>
                <w:szCs w:val="18"/>
                <w:highlight w:val="none"/>
                <w:lang w:eastAsia="zh-CN"/>
              </w:rPr>
            </w:pPr>
            <w:r>
              <w:rPr>
                <w:rFonts w:hint="eastAsia" w:ascii="宋体" w:hAnsi="宋体" w:cs="宋体"/>
                <w:b/>
                <w:bCs w:val="0"/>
                <w:color w:val="auto"/>
                <w:kern w:val="0"/>
                <w:sz w:val="18"/>
                <w:szCs w:val="18"/>
                <w:highlight w:val="none"/>
              </w:rPr>
              <w:t>23.底盘</w:t>
            </w:r>
            <w:r>
              <w:rPr>
                <w:rFonts w:hint="eastAsia" w:ascii="宋体" w:hAnsi="宋体" w:cs="宋体"/>
                <w:b/>
                <w:color w:val="auto"/>
                <w:kern w:val="0"/>
                <w:sz w:val="18"/>
                <w:szCs w:val="18"/>
                <w:highlight w:val="none"/>
              </w:rPr>
              <w:t>直梁框架式结构、笼式焊接钢骨架车身；配有汽车标准的副车架（可拆卸式、方向机和下摆臂都是固定在副车架上、</w:t>
            </w:r>
            <w:r>
              <w:rPr>
                <w:rFonts w:hint="eastAsia" w:ascii="宋体" w:hAnsi="宋体" w:cs="宋体"/>
                <w:b/>
                <w:bCs w:val="0"/>
                <w:color w:val="auto"/>
                <w:kern w:val="0"/>
                <w:sz w:val="18"/>
                <w:szCs w:val="18"/>
                <w:highlight w:val="none"/>
              </w:rPr>
              <w:t>提供实图照片</w:t>
            </w:r>
            <w:r>
              <w:rPr>
                <w:rFonts w:hint="eastAsia" w:ascii="宋体" w:hAnsi="宋体" w:cs="宋体"/>
                <w:b/>
                <w:color w:val="auto"/>
                <w:kern w:val="0"/>
                <w:sz w:val="18"/>
                <w:szCs w:val="18"/>
                <w:highlight w:val="none"/>
              </w:rPr>
              <w:t>）</w:t>
            </w:r>
            <w:r>
              <w:rPr>
                <w:rFonts w:hint="eastAsia" w:ascii="宋体" w:hAnsi="宋体" w:cs="宋体"/>
                <w:b/>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外型尺寸：长×宽×高</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宋体" w:hAnsi="宋体" w:cs="宋体"/>
                <w:color w:val="auto"/>
                <w:kern w:val="0"/>
                <w:sz w:val="18"/>
                <w:szCs w:val="18"/>
                <w:highlight w:val="none"/>
              </w:rPr>
              <w:t>3350</w:t>
            </w:r>
            <w:r>
              <w:rPr>
                <w:rFonts w:hint="eastAsia" w:ascii="宋体" w:hAnsi="宋体" w:cs="宋体"/>
                <w:bCs/>
                <w:color w:val="auto"/>
                <w:sz w:val="18"/>
                <w:szCs w:val="18"/>
                <w:highlight w:val="none"/>
              </w:rPr>
              <w:t>mm</w:t>
            </w:r>
            <w:r>
              <w:rPr>
                <w:rFonts w:hint="eastAsia" w:ascii="宋体" w:hAnsi="宋体" w:cs="宋体"/>
                <w:color w:val="auto"/>
                <w:kern w:val="0"/>
                <w:sz w:val="18"/>
                <w:szCs w:val="18"/>
                <w:highlight w:val="none"/>
              </w:rPr>
              <w:t>*1530</w:t>
            </w:r>
            <w:r>
              <w:rPr>
                <w:rFonts w:hint="eastAsia" w:ascii="宋体" w:hAnsi="宋体" w:cs="宋体"/>
                <w:bCs/>
                <w:color w:val="auto"/>
                <w:sz w:val="18"/>
                <w:szCs w:val="18"/>
                <w:highlight w:val="none"/>
              </w:rPr>
              <w:t>mm</w:t>
            </w:r>
            <w:r>
              <w:rPr>
                <w:rFonts w:hint="eastAsia" w:ascii="宋体" w:hAnsi="宋体" w:cs="宋体"/>
                <w:color w:val="auto"/>
                <w:kern w:val="0"/>
                <w:sz w:val="18"/>
                <w:szCs w:val="18"/>
                <w:highlight w:val="none"/>
              </w:rPr>
              <w:t>*1870</w:t>
            </w:r>
            <w:r>
              <w:rPr>
                <w:rFonts w:hint="eastAsia" w:ascii="宋体" w:hAnsi="宋体" w:cs="宋体"/>
                <w:bCs/>
                <w:color w:val="auto"/>
                <w:sz w:val="18"/>
                <w:szCs w:val="18"/>
                <w:highlight w:val="none"/>
              </w:rPr>
              <w:t>mm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整车整备质量：</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宋体" w:hAnsi="宋体" w:cs="宋体"/>
                <w:bCs/>
                <w:color w:val="auto"/>
                <w:sz w:val="18"/>
                <w:szCs w:val="18"/>
                <w:highlight w:val="none"/>
              </w:rPr>
              <w:t>930kg</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额定载重：</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宋体" w:hAnsi="宋体" w:cs="宋体"/>
                <w:bCs/>
                <w:color w:val="auto"/>
                <w:sz w:val="18"/>
                <w:szCs w:val="18"/>
                <w:highlight w:val="none"/>
              </w:rPr>
              <w:t>510kg</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轴距：</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宋体" w:hAnsi="宋体" w:cs="宋体"/>
                <w:bCs/>
                <w:color w:val="auto"/>
                <w:sz w:val="18"/>
                <w:szCs w:val="18"/>
                <w:highlight w:val="none"/>
              </w:rPr>
              <w:t>2130mm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前轮距：</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宋体" w:hAnsi="宋体" w:cs="宋体"/>
                <w:bCs/>
                <w:color w:val="auto"/>
                <w:sz w:val="18"/>
                <w:szCs w:val="18"/>
                <w:highlight w:val="none"/>
              </w:rPr>
              <w:t>1280mm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后轮距：</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宋体" w:hAnsi="宋体" w:cs="宋体"/>
                <w:bCs/>
                <w:color w:val="auto"/>
                <w:sz w:val="18"/>
                <w:szCs w:val="18"/>
                <w:highlight w:val="none"/>
              </w:rPr>
              <w:t>1290mm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最小离地间隙：</w:t>
            </w:r>
          </w:p>
        </w:tc>
        <w:tc>
          <w:tcPr>
            <w:tcW w:w="2354" w:type="dxa"/>
            <w:noWrap w:val="0"/>
            <w:vAlign w:val="center"/>
          </w:tcPr>
          <w:p>
            <w:pPr>
              <w:rPr>
                <w:rFonts w:ascii="宋体" w:hAnsi="宋体" w:cs="宋体"/>
                <w:bCs/>
                <w:color w:val="auto"/>
                <w:sz w:val="18"/>
                <w:szCs w:val="18"/>
                <w:highlight w:val="none"/>
              </w:rPr>
            </w:pPr>
            <w:r>
              <w:rPr>
                <w:rFonts w:ascii="Arial" w:hAnsi="Arial" w:cs="Arial"/>
                <w:bCs/>
                <w:color w:val="auto"/>
                <w:sz w:val="18"/>
                <w:szCs w:val="18"/>
                <w:highlight w:val="none"/>
              </w:rPr>
              <w:t>≥</w:t>
            </w:r>
            <w:r>
              <w:rPr>
                <w:rFonts w:hint="eastAsia" w:ascii="Arial" w:hAnsi="Arial" w:cs="Arial"/>
                <w:bCs/>
                <w:color w:val="auto"/>
                <w:sz w:val="18"/>
                <w:szCs w:val="18"/>
                <w:highlight w:val="none"/>
              </w:rPr>
              <w:t>14</w:t>
            </w:r>
            <w:r>
              <w:rPr>
                <w:rFonts w:hint="eastAsia" w:ascii="宋体" w:hAnsi="宋体" w:cs="宋体"/>
                <w:bCs/>
                <w:color w:val="auto"/>
                <w:sz w:val="18"/>
                <w:szCs w:val="18"/>
                <w:highlight w:val="none"/>
              </w:rPr>
              <w:t>0mm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制动距离：</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≤5m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spacing w:line="320" w:lineRule="exact"/>
              <w:rPr>
                <w:rFonts w:ascii="宋体" w:hAnsi="宋体" w:cs="宋体"/>
                <w:bCs/>
                <w:color w:val="auto"/>
                <w:sz w:val="18"/>
                <w:szCs w:val="18"/>
                <w:highlight w:val="none"/>
              </w:rPr>
            </w:pPr>
            <w:r>
              <w:rPr>
                <w:rFonts w:hint="eastAsia" w:ascii="宋体" w:hAnsi="宋体" w:cs="宋体"/>
                <w:bCs/>
                <w:color w:val="auto"/>
                <w:sz w:val="18"/>
                <w:szCs w:val="18"/>
                <w:highlight w:val="none"/>
              </w:rPr>
              <w:t>电机额定功率：</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5KW交流</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spacing w:line="320" w:lineRule="exact"/>
              <w:rPr>
                <w:rFonts w:ascii="宋体" w:hAnsi="宋体" w:cs="宋体"/>
                <w:bCs/>
                <w:color w:val="auto"/>
                <w:sz w:val="18"/>
                <w:szCs w:val="18"/>
                <w:highlight w:val="none"/>
              </w:rPr>
            </w:pPr>
            <w:r>
              <w:rPr>
                <w:rFonts w:hint="eastAsia" w:ascii="宋体" w:hAnsi="宋体" w:cs="宋体"/>
                <w:bCs/>
                <w:color w:val="auto"/>
                <w:sz w:val="18"/>
                <w:szCs w:val="18"/>
                <w:highlight w:val="none"/>
              </w:rPr>
              <w:t>电池：</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8V*6块/150AH</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照明电压及功率：</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12V/100W</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充电时间：</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8-10小时</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续驶里程：</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80</w:t>
            </w:r>
            <w:r>
              <w:rPr>
                <w:rFonts w:ascii="宋体" w:hAnsi="宋体" w:cs="宋体"/>
                <w:bCs/>
                <w:color w:val="auto"/>
                <w:sz w:val="18"/>
                <w:szCs w:val="18"/>
                <w:highlight w:val="none"/>
              </w:rPr>
              <w:t>-100</w:t>
            </w:r>
            <w:r>
              <w:rPr>
                <w:rFonts w:hint="eastAsia" w:ascii="宋体" w:hAnsi="宋体" w:cs="宋体"/>
                <w:bCs/>
                <w:color w:val="auto"/>
                <w:sz w:val="18"/>
                <w:szCs w:val="18"/>
                <w:highlight w:val="none"/>
              </w:rPr>
              <w:t>km</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6"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控制器</w:t>
            </w:r>
          </w:p>
        </w:tc>
        <w:tc>
          <w:tcPr>
            <w:tcW w:w="2354" w:type="dxa"/>
            <w:noWrap w:val="0"/>
            <w:vAlign w:val="center"/>
          </w:tcPr>
          <w:p>
            <w:pPr>
              <w:rPr>
                <w:rFonts w:ascii="宋体" w:hAnsi="宋体" w:cs="宋体"/>
                <w:bCs/>
                <w:color w:val="auto"/>
                <w:sz w:val="18"/>
                <w:szCs w:val="18"/>
                <w:highlight w:val="none"/>
              </w:rPr>
            </w:pPr>
            <w:r>
              <w:rPr>
                <w:rFonts w:hint="eastAsia" w:ascii="宋体" w:hAnsi="宋体" w:cs="宋体"/>
                <w:bCs/>
                <w:color w:val="auto"/>
                <w:sz w:val="18"/>
                <w:szCs w:val="18"/>
                <w:highlight w:val="none"/>
              </w:rPr>
              <w:t>英博尔</w:t>
            </w:r>
          </w:p>
        </w:tc>
        <w:tc>
          <w:tcPr>
            <w:tcW w:w="4464" w:type="dxa"/>
            <w:vMerge w:val="continue"/>
            <w:noWrap w:val="0"/>
            <w:vAlign w:val="center"/>
          </w:tcPr>
          <w:p>
            <w:pPr>
              <w:rPr>
                <w:rFonts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946" w:type="dxa"/>
            <w:noWrap w:val="0"/>
            <w:vAlign w:val="center"/>
          </w:tcPr>
          <w:p>
            <w:pPr>
              <w:rPr>
                <w:rFonts w:ascii="宋体" w:hAnsi="宋体" w:cs="宋体"/>
                <w:bCs/>
                <w:color w:val="auto"/>
                <w:sz w:val="18"/>
                <w:szCs w:val="18"/>
                <w:highlight w:val="none"/>
              </w:rPr>
            </w:pPr>
          </w:p>
        </w:tc>
        <w:tc>
          <w:tcPr>
            <w:tcW w:w="2354" w:type="dxa"/>
            <w:noWrap w:val="0"/>
            <w:vAlign w:val="center"/>
          </w:tcPr>
          <w:p>
            <w:pPr>
              <w:jc w:val="left"/>
              <w:rPr>
                <w:rFonts w:ascii="宋体" w:hAnsi="宋体" w:cs="宋体"/>
                <w:bCs/>
                <w:color w:val="auto"/>
                <w:sz w:val="18"/>
                <w:szCs w:val="18"/>
                <w:highlight w:val="none"/>
              </w:rPr>
            </w:pPr>
          </w:p>
        </w:tc>
        <w:tc>
          <w:tcPr>
            <w:tcW w:w="4464" w:type="dxa"/>
            <w:vMerge w:val="continue"/>
            <w:noWrap w:val="0"/>
            <w:vAlign w:val="center"/>
          </w:tcPr>
          <w:p>
            <w:pPr>
              <w:rPr>
                <w:rFonts w:ascii="宋体" w:hAnsi="宋体" w:cs="宋体"/>
                <w:bCs/>
                <w:color w:val="auto"/>
                <w:sz w:val="18"/>
                <w:szCs w:val="18"/>
                <w:highlight w:val="none"/>
              </w:rPr>
            </w:pPr>
          </w:p>
        </w:tc>
      </w:tr>
    </w:tbl>
    <w:p>
      <w:pPr>
        <w:keepNext w:val="0"/>
        <w:keepLines w:val="0"/>
        <w:pageBreakBefore w:val="0"/>
        <w:widowControl/>
        <w:kinsoku/>
        <w:overflowPunct/>
        <w:topLinePunct w:val="0"/>
        <w:autoSpaceDE/>
        <w:autoSpaceDN/>
        <w:bidi w:val="0"/>
        <w:adjustRightInd/>
        <w:spacing w:line="440" w:lineRule="exact"/>
        <w:ind w:firstLine="361" w:firstLineChars="200"/>
        <w:jc w:val="left"/>
        <w:textAlignment w:val="auto"/>
        <w:outlineLvl w:val="9"/>
        <w:rPr>
          <w:rFonts w:hint="default" w:ascii="宋体" w:hAnsi="宋体" w:cs="宋体"/>
          <w:b/>
          <w:color w:val="auto"/>
          <w:kern w:val="0"/>
          <w:sz w:val="18"/>
          <w:szCs w:val="18"/>
          <w:highlight w:val="none"/>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1-08T10:43:00Z" w:initials="A">
    <w:p w14:paraId="3A2C5AE3">
      <w:pPr>
        <w:pStyle w:val="4"/>
        <w:rPr>
          <w:rFonts w:hint="default" w:eastAsia="宋体"/>
          <w:lang w:val="en-US" w:eastAsia="zh-CN"/>
        </w:rPr>
      </w:pPr>
      <w:r>
        <w:rPr>
          <w:rFonts w:hint="eastAsia"/>
          <w:lang w:val="en-US" w:eastAsia="zh-CN"/>
        </w:rPr>
        <w:t>是否有收取履约保证金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2C5A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78DECE1"/>
    <w:multiLevelType w:val="singleLevel"/>
    <w:tmpl w:val="578DECE1"/>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375EF"/>
    <w:rsid w:val="5BEE391F"/>
    <w:rsid w:val="789B7F7F"/>
    <w:rsid w:val="79A3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annotation text"/>
    <w:basedOn w:val="1"/>
    <w:qFormat/>
    <w:uiPriority w:val="0"/>
    <w:pPr>
      <w:jc w:val="left"/>
    </w:p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2024-11-12T07:12:00Z</dcterms:created>
  <dc:creator>Administrator</dc:creator>
  <cp:lastModifiedBy>XH.H</cp:lastModifiedBy>
  <dcterms:modified xsi:type="dcterms:W3CDTF">2024-11-12T07:18:44Z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25492FD84BC74AE39C4E914A5CB88986</vt:lpwstr>
  </property>
</Properties>
</file>