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hint="eastAsia" w:ascii="宋体" w:hAnsi="宋体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</w:pPr>
      <w:r>
        <w:rPr>
          <w:rFonts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  <w:t>福州职业技术学院</w:t>
      </w:r>
      <w:r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  <w:lang w:eastAsia="zh-CN"/>
        </w:rPr>
        <w:t>学生工作处</w:t>
      </w:r>
    </w:p>
    <w:p>
      <w:pPr>
        <w:spacing w:line="580" w:lineRule="exact"/>
        <w:ind w:firstLine="2500" w:firstLineChars="2500"/>
        <w:rPr>
          <w:rFonts w:hint="eastAsia" w:ascii="仿宋_GB2312" w:eastAsia="仿宋_GB2312"/>
          <w:sz w:val="10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10"/>
          <w:szCs w:val="32"/>
        </w:rPr>
        <w:pict>
          <v:line id="_x0000_s2050" o:spid="_x0000_s2050" o:spt="20" style="position:absolute;left:0pt;margin-left:-1.85pt;margin-top:30.9pt;height:0.15pt;width:441pt;z-index:251660288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/LtqdcAAAAIAQAADwAAAAAAAAABACAAAAAi&#10;AAAAZHJzL2Rvd25yZXYueG1sUEsBAhQAFAAAAAgAh07iQAbRc+vSAQAAkQMAAA4AAAAAAAAAAQAg&#10;AAAAJgEAAGRycy9lMm9Eb2MueG1sUEsFBgAAAAAGAAYAWQEAAGoFAAAA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sz w:val="32"/>
          <w:szCs w:val="32"/>
        </w:rPr>
        <w:t>榕职院学〔201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ind w:firstLine="542" w:firstLineChars="150"/>
        <w:jc w:val="center"/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</w:pPr>
    </w:p>
    <w:p>
      <w:pPr>
        <w:ind w:firstLine="542" w:firstLineChars="150"/>
        <w:jc w:val="center"/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</w:pPr>
      <w:r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  <w:t>关于做好第十三届省级文明校园总评迎检期间</w:t>
      </w:r>
    </w:p>
    <w:p>
      <w:pPr>
        <w:ind w:firstLine="542" w:firstLineChars="150"/>
        <w:jc w:val="center"/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</w:pPr>
      <w:r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  <w:t>学生工作的通知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color w:val="auto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</w:t>
      </w:r>
      <w:r>
        <w:rPr>
          <w:rFonts w:hint="eastAsia" w:ascii="仿宋_GB2312" w:eastAsia="仿宋_GB2312"/>
          <w:color w:val="auto"/>
          <w:sz w:val="28"/>
          <w:szCs w:val="28"/>
        </w:rPr>
        <w:t>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Style w:val="11"/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color w:val="auto"/>
          <w:sz w:val="28"/>
          <w:szCs w:val="28"/>
        </w:rPr>
        <w:t>即将迎来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第十三届</w:t>
      </w:r>
      <w:r>
        <w:rPr>
          <w:rFonts w:hint="eastAsia" w:ascii="仿宋_GB2312" w:eastAsia="仿宋_GB2312"/>
          <w:color w:val="auto"/>
          <w:sz w:val="28"/>
          <w:szCs w:val="28"/>
        </w:rPr>
        <w:t>（2015-2017）省级文明校园总评。为进一步加强我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color w:val="auto"/>
          <w:sz w:val="28"/>
          <w:szCs w:val="28"/>
        </w:rPr>
        <w:t>精神文明建设，营造卫生和谐的校园环境，广泛动员全体学生以良好的精神风貌和主人翁精神投入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学校</w:t>
      </w:r>
      <w:r>
        <w:rPr>
          <w:rFonts w:hint="eastAsia" w:ascii="仿宋_GB2312" w:eastAsia="仿宋_GB2312"/>
          <w:color w:val="auto"/>
          <w:sz w:val="28"/>
          <w:szCs w:val="28"/>
        </w:rPr>
        <w:t>迎检工作中，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现将有关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事项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通知如下：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rStyle w:val="11"/>
          <w:rFonts w:ascii="仿宋_GB2312" w:hAnsi="黑体" w:eastAsia="仿宋_GB2312"/>
          <w:b/>
          <w:color w:val="auto"/>
          <w:sz w:val="28"/>
          <w:szCs w:val="28"/>
        </w:rPr>
      </w:pPr>
      <w:r>
        <w:rPr>
          <w:rStyle w:val="11"/>
          <w:rFonts w:hint="eastAsia" w:ascii="仿宋_GB2312" w:hAnsi="黑体" w:eastAsia="仿宋_GB2312"/>
          <w:b/>
          <w:color w:val="auto"/>
          <w:sz w:val="28"/>
          <w:szCs w:val="28"/>
        </w:rPr>
        <w:t>开展时间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Style w:val="11"/>
          <w:rFonts w:ascii="仿宋_GB2312" w:eastAsia="仿宋_GB2312"/>
          <w:color w:val="auto"/>
          <w:sz w:val="28"/>
          <w:szCs w:val="28"/>
        </w:rPr>
      </w:pPr>
      <w:r>
        <w:rPr>
          <w:rStyle w:val="11"/>
          <w:rFonts w:ascii="仿宋_GB2312" w:eastAsia="仿宋_GB2312"/>
          <w:color w:val="auto"/>
          <w:sz w:val="28"/>
          <w:szCs w:val="28"/>
        </w:rPr>
        <w:t>201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val="en-US" w:eastAsia="zh-CN"/>
        </w:rPr>
        <w:t>12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日至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第十三届</w:t>
      </w:r>
      <w:r>
        <w:rPr>
          <w:rFonts w:hint="eastAsia" w:ascii="仿宋_GB2312" w:eastAsia="仿宋_GB2312"/>
          <w:color w:val="auto"/>
          <w:sz w:val="28"/>
          <w:szCs w:val="28"/>
        </w:rPr>
        <w:t>省级文明校园总评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期间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both"/>
        <w:textAlignment w:val="auto"/>
        <w:outlineLvl w:val="9"/>
        <w:rPr>
          <w:rStyle w:val="11"/>
          <w:rFonts w:ascii="仿宋_GB2312" w:hAnsi="黑体" w:eastAsia="仿宋_GB2312"/>
          <w:b/>
          <w:color w:val="auto"/>
          <w:sz w:val="28"/>
          <w:szCs w:val="28"/>
        </w:rPr>
      </w:pPr>
      <w:r>
        <w:rPr>
          <w:rStyle w:val="11"/>
          <w:rFonts w:hint="eastAsia" w:ascii="仿宋_GB2312" w:hAnsi="黑体" w:eastAsia="仿宋_GB2312"/>
          <w:b/>
          <w:color w:val="auto"/>
          <w:sz w:val="28"/>
          <w:szCs w:val="28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150"/>
        <w:jc w:val="both"/>
        <w:textAlignment w:val="auto"/>
        <w:outlineLvl w:val="9"/>
        <w:rPr>
          <w:rFonts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hAnsi="????" w:eastAsia="仿宋_GB2312"/>
          <w:color w:val="auto"/>
          <w:sz w:val="32"/>
          <w:szCs w:val="32"/>
        </w:rPr>
        <w:t>（</w:t>
      </w:r>
      <w:r>
        <w:rPr>
          <w:rFonts w:hint="eastAsia" w:ascii="仿宋_GB2312" w:hAnsi="????" w:eastAsia="仿宋_GB2312"/>
          <w:color w:val="auto"/>
          <w:sz w:val="28"/>
          <w:szCs w:val="28"/>
        </w:rPr>
        <w:t>一）宣传动员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7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????" w:eastAsia="仿宋_GB2312"/>
          <w:color w:val="auto"/>
          <w:sz w:val="28"/>
          <w:szCs w:val="28"/>
        </w:rPr>
        <w:t>1.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加强宣传工作。</w:t>
      </w:r>
      <w:r>
        <w:rPr>
          <w:rFonts w:hint="eastAsia" w:ascii="仿宋_GB2312" w:hAnsi="????" w:eastAsia="仿宋_GB2312"/>
          <w:color w:val="auto"/>
          <w:sz w:val="28"/>
          <w:szCs w:val="28"/>
        </w:rPr>
        <w:t>各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学院</w:t>
      </w:r>
      <w:r>
        <w:rPr>
          <w:rFonts w:hint="eastAsia" w:ascii="仿宋_GB2312" w:hAnsi="????" w:eastAsia="仿宋_GB2312"/>
          <w:color w:val="auto"/>
          <w:sz w:val="28"/>
          <w:szCs w:val="28"/>
        </w:rPr>
        <w:t>通过主题班会、宣传栏、标语、网络等宣传形式，深入教室、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实训室、</w:t>
      </w:r>
      <w:r>
        <w:rPr>
          <w:rFonts w:hint="eastAsia" w:ascii="仿宋_GB2312" w:hAnsi="????" w:eastAsia="仿宋_GB2312"/>
          <w:color w:val="auto"/>
          <w:sz w:val="28"/>
          <w:szCs w:val="28"/>
        </w:rPr>
        <w:t>寝室等场所，</w:t>
      </w:r>
      <w:r>
        <w:rPr>
          <w:rFonts w:hint="eastAsia" w:ascii="仿宋_GB2312" w:eastAsia="仿宋_GB2312"/>
          <w:color w:val="auto"/>
          <w:sz w:val="28"/>
          <w:szCs w:val="28"/>
        </w:rPr>
        <w:t>大力宣传迎检工作及相关要求，通过讨论、交流和引导，营造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迎检</w:t>
      </w:r>
      <w:r>
        <w:rPr>
          <w:rFonts w:hint="eastAsia" w:ascii="仿宋_GB2312" w:eastAsia="仿宋_GB2312"/>
          <w:color w:val="auto"/>
          <w:sz w:val="28"/>
          <w:szCs w:val="28"/>
        </w:rPr>
        <w:t>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2.加强应知应会知识学习。组织学生认真学习学院有关迎评迎检文件，了解学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校文明校园建设</w:t>
      </w:r>
      <w:r>
        <w:rPr>
          <w:rFonts w:hint="eastAsia" w:ascii="仿宋_GB2312" w:eastAsia="仿宋_GB2312"/>
          <w:color w:val="auto"/>
          <w:sz w:val="28"/>
          <w:szCs w:val="28"/>
        </w:rPr>
        <w:t>的总体情况，了解相关指标体系，深刻理解各项指标和各个观测点的深刻内涵，明确目标任务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，知晓取得成效。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hAnsi="????" w:eastAsia="仿宋_GB2312"/>
          <w:color w:val="auto"/>
          <w:sz w:val="28"/>
          <w:szCs w:val="28"/>
        </w:rPr>
      </w:pPr>
      <w:r>
        <w:rPr>
          <w:rFonts w:hint="eastAsia" w:ascii="仿宋_GB2312" w:hAnsi="????" w:eastAsia="仿宋_GB2312"/>
          <w:color w:val="auto"/>
          <w:sz w:val="28"/>
          <w:szCs w:val="28"/>
        </w:rPr>
        <w:t>（二）检查落实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1.</w:t>
      </w:r>
      <w:r>
        <w:rPr>
          <w:rFonts w:hint="eastAsia" w:ascii="仿宋_GB2312" w:eastAsia="仿宋_GB2312"/>
          <w:color w:val="auto"/>
          <w:sz w:val="28"/>
          <w:szCs w:val="28"/>
        </w:rPr>
        <w:t>加强日常教育管理。要进一步落实各项管理措施，迎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检</w:t>
      </w:r>
      <w:r>
        <w:rPr>
          <w:rFonts w:hint="eastAsia" w:ascii="仿宋_GB2312" w:eastAsia="仿宋_GB2312"/>
          <w:color w:val="auto"/>
          <w:sz w:val="28"/>
          <w:szCs w:val="28"/>
        </w:rPr>
        <w:t>期间要杜绝风纪不正、不按规定作息、晚归、熄灯后外出等违反管理规定的行为发生。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强化学风教育，抓好课堂纪律。教育学生严守课堂纪律，不迟到、不早退、不旷课、不带食品及有包装的饮料进教室，随手带走教室垃圾，保持教室环境卫生，保持良好的课堂纪律和教室环境。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3.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加强</w:t>
      </w:r>
      <w:r>
        <w:rPr>
          <w:rFonts w:hint="eastAsia" w:ascii="仿宋_GB2312" w:eastAsia="仿宋_GB2312"/>
          <w:color w:val="auto"/>
          <w:sz w:val="28"/>
          <w:szCs w:val="28"/>
        </w:rPr>
        <w:t>校园文明礼仪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教育。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劝导同学们在仪容仪表、微笑问好、文明搭乘电梯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（特别是特教大楼）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、排队购物、饭后回收餐盘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、按规有序停放车辆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等方面做出示范和表率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4</w:t>
      </w:r>
      <w:r>
        <w:rPr>
          <w:rFonts w:ascii="仿宋_GB2312" w:hAnsi="宋体" w:eastAsia="仿宋_GB2312"/>
          <w:color w:val="auto"/>
          <w:sz w:val="28"/>
          <w:szCs w:val="28"/>
        </w:rPr>
        <w:t>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规范公寓秩序，</w:t>
      </w:r>
      <w:r>
        <w:rPr>
          <w:rFonts w:hint="eastAsia" w:ascii="仿宋_GB2312" w:eastAsia="仿宋_GB2312"/>
          <w:color w:val="auto"/>
          <w:sz w:val="28"/>
          <w:szCs w:val="28"/>
        </w:rPr>
        <w:t>大力整顿宿舍卫生，要重视和抓好宿舍内务卫生，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各学院</w:t>
      </w:r>
      <w:r>
        <w:rPr>
          <w:rFonts w:hint="eastAsia" w:ascii="仿宋_GB2312" w:eastAsia="仿宋_GB2312"/>
          <w:color w:val="auto"/>
          <w:sz w:val="28"/>
          <w:szCs w:val="28"/>
        </w:rPr>
        <w:t>重点解决学生宿舍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内乱拉电线、排插、网线和使用违规电器；阳台各类物品摆放、悬挂不整齐和放置桌椅；宿舍外</w:t>
      </w:r>
      <w:r>
        <w:rPr>
          <w:rFonts w:hint="eastAsia" w:ascii="仿宋_GB2312" w:eastAsia="仿宋_GB2312"/>
          <w:color w:val="auto"/>
          <w:sz w:val="28"/>
          <w:szCs w:val="28"/>
        </w:rPr>
        <w:t>“吊餐”、高空抛物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、电动车私拉电线充电和走廊堆放物品；其它违反学校相规定和影响公寓</w:t>
      </w:r>
      <w:r>
        <w:rPr>
          <w:rFonts w:hint="eastAsia" w:ascii="仿宋_GB2312" w:eastAsia="仿宋_GB2312"/>
          <w:color w:val="auto"/>
          <w:sz w:val="28"/>
          <w:szCs w:val="28"/>
        </w:rPr>
        <w:t>环境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整洁等问题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/>
        <w:jc w:val="both"/>
        <w:textAlignment w:val="auto"/>
        <w:outlineLvl w:val="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认真做好禁烟教育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加强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本单位教学区、宿舍区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吸烟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的督查工作，对于在公共场合吸烟的学生</w:t>
      </w:r>
      <w:r>
        <w:rPr>
          <w:rFonts w:hint="eastAsia" w:ascii="仿宋_GB2312" w:eastAsia="仿宋_GB2312"/>
          <w:color w:val="auto"/>
          <w:sz w:val="28"/>
          <w:szCs w:val="28"/>
        </w:rPr>
        <w:t>，先进行教育，教育无效者给与严肃处理。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/>
        <w:jc w:val="both"/>
        <w:textAlignment w:val="auto"/>
        <w:outlineLvl w:val="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6</w:t>
      </w:r>
      <w:r>
        <w:rPr>
          <w:rFonts w:ascii="仿宋_GB2312" w:hAnsi="宋体" w:eastAsia="仿宋_GB2312"/>
          <w:color w:val="auto"/>
          <w:sz w:val="28"/>
          <w:szCs w:val="28"/>
        </w:rPr>
        <w:t>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开展校园清除活动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。各学院于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2017年9月24日前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根据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校园清除活动区域划分表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，做好各自包干区的烟蒂和“牛皮癣”清理工作，并上报活动开展情况佐证材料。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要高度重视，积极行动起来，</w:t>
      </w:r>
      <w:r>
        <w:rPr>
          <w:rFonts w:hint="eastAsia" w:ascii="仿宋_GB2312" w:eastAsia="仿宋_GB2312"/>
          <w:color w:val="auto"/>
          <w:sz w:val="28"/>
          <w:szCs w:val="28"/>
        </w:rPr>
        <w:t>切实把工作落到实处，防止工作流于形式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。可通过易班等多种渠道加强教育，</w:t>
      </w:r>
      <w:r>
        <w:rPr>
          <w:rFonts w:hint="eastAsia" w:ascii="仿宋_GB2312" w:eastAsia="仿宋_GB2312"/>
          <w:color w:val="auto"/>
          <w:sz w:val="28"/>
          <w:szCs w:val="28"/>
        </w:rPr>
        <w:t>使学生真正认识到迎检工作的重要意义。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针对可能存在问题深入进行排查，同时根据排查出来的问题，及时进行批评教育和有针对性地整改。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各学院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开展校园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包干区环境净化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活动区域划分表。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福州职业技术学院</w:t>
      </w:r>
      <w:r>
        <w:rPr>
          <w:rFonts w:hint="eastAsia" w:ascii="仿宋_GB2312" w:eastAsia="仿宋_GB2312"/>
          <w:color w:val="000000"/>
          <w:sz w:val="28"/>
          <w:szCs w:val="28"/>
        </w:rPr>
        <w:t>学生工作处</w:t>
      </w:r>
    </w:p>
    <w:p>
      <w:pPr>
        <w:spacing w:line="540" w:lineRule="exact"/>
        <w:ind w:firstLine="6160" w:firstLineChars="2200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pict>
          <v:line id="直接连接符 4" o:spid="_x0000_s1026" o:spt="20" style="position:absolute;left:0pt;margin-left:-6pt;margin-top:26.9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">
            <v:path arrowok="t"/>
            <v:fill focussize="0,0"/>
            <v:stroke weight="2pt"/>
            <v:imagedata o:title=""/>
            <o:lock v:ext="edit"/>
          </v:line>
        </w:pict>
      </w:r>
      <w:r>
        <w:pict>
          <v:line id="直接连接符 2" o:spid="_x0000_s1027" o:spt="20" style="position:absolute;left:0pt;margin-left:-5.65pt;margin-top:4.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DwLQIAADQEAAAOAAAAZHJzL2Uyb0RvYy54bWysU8GO0zAQvSPxD1bubZKSlm7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福州职业技术学院学生工作处</w:t>
      </w:r>
      <w:r>
        <w:rPr>
          <w:rFonts w:ascii="仿宋_GB2312" w:eastAsia="仿宋_GB2312"/>
          <w:snapToGrid w:val="0"/>
          <w:kern w:val="0"/>
          <w:sz w:val="28"/>
          <w:szCs w:val="28"/>
        </w:rPr>
        <w:t xml:space="preserve">         201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日印发</w:t>
      </w: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各学院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开展校园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包干区环境净化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活动区域划分表</w:t>
      </w:r>
    </w:p>
    <w:tbl>
      <w:tblPr>
        <w:tblStyle w:val="7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系部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阿里巴巴大数据学院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4#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公寓楼至旧区食堂、4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荔枝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、2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交通工程学院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一号教学楼以北、9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文化创意学院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特教学院周边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、篮球场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国际教育学院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综合楼附近、8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二号教学楼、溪园广场、1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智能与建筑工程学院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行车桥以东、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三期实训楼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、10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机械工程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田径场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实训楼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/>
                <w:sz w:val="28"/>
                <w:szCs w:val="28"/>
              </w:rPr>
              <w:t>#公寓楼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周边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6D90"/>
    <w:multiLevelType w:val="multilevel"/>
    <w:tmpl w:val="24626D90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C49"/>
    <w:rsid w:val="0008261B"/>
    <w:rsid w:val="000E2D99"/>
    <w:rsid w:val="00106697"/>
    <w:rsid w:val="00432DE9"/>
    <w:rsid w:val="00474283"/>
    <w:rsid w:val="00481F2F"/>
    <w:rsid w:val="004A1C01"/>
    <w:rsid w:val="006A462D"/>
    <w:rsid w:val="006B2A22"/>
    <w:rsid w:val="006E21A8"/>
    <w:rsid w:val="00725A76"/>
    <w:rsid w:val="007F01FC"/>
    <w:rsid w:val="00867A0A"/>
    <w:rsid w:val="00877618"/>
    <w:rsid w:val="00882BC5"/>
    <w:rsid w:val="008C7323"/>
    <w:rsid w:val="008E46D3"/>
    <w:rsid w:val="00950378"/>
    <w:rsid w:val="00952102"/>
    <w:rsid w:val="009C66D6"/>
    <w:rsid w:val="00AE0061"/>
    <w:rsid w:val="00BB5B21"/>
    <w:rsid w:val="00C23195"/>
    <w:rsid w:val="00C35DAF"/>
    <w:rsid w:val="00C466B0"/>
    <w:rsid w:val="00CA0291"/>
    <w:rsid w:val="00CA25C7"/>
    <w:rsid w:val="00CC20C7"/>
    <w:rsid w:val="00CD1CD1"/>
    <w:rsid w:val="00D006BC"/>
    <w:rsid w:val="00D821C2"/>
    <w:rsid w:val="00D927A0"/>
    <w:rsid w:val="00DC618D"/>
    <w:rsid w:val="00E1420E"/>
    <w:rsid w:val="00E152F8"/>
    <w:rsid w:val="00E90B9A"/>
    <w:rsid w:val="00ED5C49"/>
    <w:rsid w:val="02BF2B87"/>
    <w:rsid w:val="14EB5890"/>
    <w:rsid w:val="22927DF5"/>
    <w:rsid w:val="3D251095"/>
    <w:rsid w:val="401E516F"/>
    <w:rsid w:val="43F86E94"/>
    <w:rsid w:val="4D074430"/>
    <w:rsid w:val="604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ascii="Verdana" w:hAnsi="Verdana" w:cs="Times New Roman"/>
      <w:b/>
      <w:bCs/>
      <w:kern w:val="0"/>
      <w:sz w:val="20"/>
      <w:szCs w:val="20"/>
      <w:lang w:eastAsia="en-US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text_news"/>
    <w:qFormat/>
    <w:uiPriority w:val="99"/>
    <w:rPr>
      <w:rFonts w:cs="Times New Roman"/>
    </w:rPr>
  </w:style>
  <w:style w:type="paragraph" w:customStyle="1" w:styleId="12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1100</Characters>
  <Lines>9</Lines>
  <Paragraphs>2</Paragraphs>
  <ScaleCrop>false</ScaleCrop>
  <LinksUpToDate>false</LinksUpToDate>
  <CharactersWithSpaces>1290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2016-12-27T01:55:00Z</dcterms:created>
  <dc:creator>admin</dc:creator>
  <cp:lastModifiedBy>Administrator</cp:lastModifiedBy>
  <cp:lastPrinted>2016-12-30T01:43:00Z</cp:lastPrinted>
  <dcterms:modified xsi:type="dcterms:W3CDTF">2017-09-12T06:26:09Z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