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6B515">
      <w:pPr>
        <w:jc w:val="center"/>
        <w:rPr>
          <w:b/>
          <w:bCs/>
          <w:sz w:val="32"/>
          <w:szCs w:val="32"/>
        </w:rPr>
      </w:pPr>
      <w:r>
        <w:rPr>
          <w:rFonts w:hint="eastAsia"/>
          <w:b/>
          <w:bCs/>
          <w:sz w:val="32"/>
          <w:szCs w:val="32"/>
        </w:rPr>
        <w:t>引进校园共享自行车运营企业中标结果公告</w:t>
      </w:r>
    </w:p>
    <w:p w14:paraId="2B52A3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一、项目编号：FJMH-2024-096（招标文件编号：FJMH-2024-096）</w:t>
      </w:r>
    </w:p>
    <w:p w14:paraId="3437BB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二、项目名称：引进校园共享自行车运营企业</w:t>
      </w:r>
    </w:p>
    <w:p w14:paraId="0996A5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三、中标（成交）信息</w:t>
      </w:r>
      <w:bookmarkStart w:id="0" w:name="_GoBack"/>
      <w:bookmarkEnd w:id="0"/>
    </w:p>
    <w:p w14:paraId="14B252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供应商名称：广州骑安科技有限公司</w:t>
      </w:r>
    </w:p>
    <w:p w14:paraId="0154F8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供应商地址：广州市番禺区南村镇万博二路79号2110房</w:t>
      </w:r>
    </w:p>
    <w:p w14:paraId="7361C8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中标（成交）金额：0.0000000（万元）</w:t>
      </w:r>
    </w:p>
    <w:p w14:paraId="38B5A8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四、主要标的信息</w:t>
      </w:r>
    </w:p>
    <w:tbl>
      <w:tblPr>
        <w:tblW w:w="9638" w:type="dxa"/>
        <w:jc w:val="center"/>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autofit"/>
        <w:tblCellMar>
          <w:top w:w="0" w:type="dxa"/>
          <w:left w:w="0" w:type="dxa"/>
          <w:bottom w:w="0" w:type="dxa"/>
          <w:right w:w="0" w:type="dxa"/>
        </w:tblCellMar>
      </w:tblPr>
      <w:tblGrid>
        <w:gridCol w:w="556"/>
        <w:gridCol w:w="1166"/>
        <w:gridCol w:w="1034"/>
        <w:gridCol w:w="2022"/>
        <w:gridCol w:w="2394"/>
        <w:gridCol w:w="935"/>
        <w:gridCol w:w="1531"/>
      </w:tblGrid>
      <w:tr w14:paraId="21E1DC1E">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rPr>
          <w:jc w:val="center"/>
        </w:trPr>
        <w:tc>
          <w:tcPr>
            <w:tcW w:w="556" w:type="dxa"/>
            <w:tcBorders>
              <w:top w:val="outset" w:color="auto" w:sz="6" w:space="0"/>
              <w:left w:val="outset" w:color="auto" w:sz="8" w:space="0"/>
              <w:bottom w:val="outset" w:color="auto" w:sz="8" w:space="0"/>
              <w:right w:val="outset" w:color="auto" w:sz="8" w:space="0"/>
            </w:tcBorders>
            <w:shd w:val="clear" w:color="auto" w:fill="FFFFFF"/>
            <w:vAlign w:val="center"/>
          </w:tcPr>
          <w:p w14:paraId="3C6FE7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166" w:type="dxa"/>
            <w:tcBorders>
              <w:top w:val="outset" w:color="auto" w:sz="6" w:space="0"/>
              <w:left w:val="outset" w:color="auto" w:sz="8" w:space="0"/>
              <w:bottom w:val="outset" w:color="auto" w:sz="8" w:space="0"/>
              <w:right w:val="outset" w:color="auto" w:sz="8" w:space="0"/>
            </w:tcBorders>
            <w:shd w:val="clear" w:color="auto" w:fill="FFFFFF"/>
            <w:vAlign w:val="center"/>
          </w:tcPr>
          <w:p w14:paraId="06B32D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供应商名称</w:t>
            </w:r>
          </w:p>
        </w:tc>
        <w:tc>
          <w:tcPr>
            <w:tcW w:w="1034" w:type="dxa"/>
            <w:tcBorders>
              <w:top w:val="outset" w:color="auto" w:sz="6" w:space="0"/>
              <w:left w:val="outset" w:color="auto" w:sz="8" w:space="0"/>
              <w:bottom w:val="outset" w:color="auto" w:sz="8" w:space="0"/>
              <w:right w:val="outset" w:color="auto" w:sz="8" w:space="0"/>
            </w:tcBorders>
            <w:shd w:val="clear" w:color="auto" w:fill="FFFFFF"/>
            <w:vAlign w:val="center"/>
          </w:tcPr>
          <w:p w14:paraId="5042D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服务名称</w:t>
            </w:r>
          </w:p>
        </w:tc>
        <w:tc>
          <w:tcPr>
            <w:tcW w:w="2022" w:type="dxa"/>
            <w:tcBorders>
              <w:top w:val="outset" w:color="auto" w:sz="6" w:space="0"/>
              <w:left w:val="outset" w:color="auto" w:sz="8" w:space="0"/>
              <w:bottom w:val="outset" w:color="auto" w:sz="8" w:space="0"/>
              <w:right w:val="outset" w:color="auto" w:sz="8" w:space="0"/>
            </w:tcBorders>
            <w:shd w:val="clear" w:color="auto" w:fill="FFFFFF"/>
            <w:vAlign w:val="center"/>
          </w:tcPr>
          <w:p w14:paraId="71C41D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服务范围</w:t>
            </w:r>
          </w:p>
        </w:tc>
        <w:tc>
          <w:tcPr>
            <w:tcW w:w="2394" w:type="dxa"/>
            <w:tcBorders>
              <w:top w:val="outset" w:color="auto" w:sz="6" w:space="0"/>
              <w:left w:val="outset" w:color="auto" w:sz="8" w:space="0"/>
              <w:bottom w:val="outset" w:color="auto" w:sz="8" w:space="0"/>
              <w:right w:val="outset" w:color="auto" w:sz="8" w:space="0"/>
            </w:tcBorders>
            <w:shd w:val="clear" w:color="auto" w:fill="FFFFFF"/>
            <w:vAlign w:val="center"/>
          </w:tcPr>
          <w:p w14:paraId="07E694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服务要求</w:t>
            </w:r>
          </w:p>
        </w:tc>
        <w:tc>
          <w:tcPr>
            <w:tcW w:w="935" w:type="dxa"/>
            <w:tcBorders>
              <w:top w:val="outset" w:color="auto" w:sz="6" w:space="0"/>
              <w:left w:val="outset" w:color="auto" w:sz="8" w:space="0"/>
              <w:bottom w:val="outset" w:color="auto" w:sz="8" w:space="0"/>
              <w:right w:val="outset" w:color="auto" w:sz="8" w:space="0"/>
            </w:tcBorders>
            <w:shd w:val="clear" w:color="auto" w:fill="FFFFFF"/>
            <w:vAlign w:val="center"/>
          </w:tcPr>
          <w:p w14:paraId="29001B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服务时间</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541CB6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服务标准</w:t>
            </w:r>
          </w:p>
        </w:tc>
      </w:tr>
      <w:tr w14:paraId="7280029D">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rPr>
          <w:jc w:val="center"/>
        </w:trPr>
        <w:tc>
          <w:tcPr>
            <w:tcW w:w="556" w:type="dxa"/>
            <w:tcBorders>
              <w:top w:val="outset" w:color="auto" w:sz="6" w:space="0"/>
              <w:left w:val="outset" w:color="auto" w:sz="8" w:space="0"/>
              <w:bottom w:val="outset" w:color="auto" w:sz="8" w:space="0"/>
              <w:right w:val="outset" w:color="auto" w:sz="8" w:space="0"/>
            </w:tcBorders>
            <w:shd w:val="clear" w:color="auto" w:fill="FFFFFF"/>
            <w:vAlign w:val="center"/>
          </w:tcPr>
          <w:p w14:paraId="72F7DE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166" w:type="dxa"/>
            <w:tcBorders>
              <w:top w:val="outset" w:color="auto" w:sz="6" w:space="0"/>
              <w:left w:val="outset" w:color="auto" w:sz="8" w:space="0"/>
              <w:bottom w:val="outset" w:color="auto" w:sz="8" w:space="0"/>
              <w:right w:val="outset" w:color="auto" w:sz="8" w:space="0"/>
            </w:tcBorders>
            <w:shd w:val="clear" w:color="auto" w:fill="FFFFFF"/>
            <w:vAlign w:val="center"/>
          </w:tcPr>
          <w:p w14:paraId="754345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广州骑安科技有限公司</w:t>
            </w:r>
          </w:p>
        </w:tc>
        <w:tc>
          <w:tcPr>
            <w:tcW w:w="1034" w:type="dxa"/>
            <w:tcBorders>
              <w:top w:val="outset" w:color="auto" w:sz="6" w:space="0"/>
              <w:left w:val="outset" w:color="auto" w:sz="8" w:space="0"/>
              <w:bottom w:val="outset" w:color="auto" w:sz="8" w:space="0"/>
              <w:right w:val="outset" w:color="auto" w:sz="8" w:space="0"/>
            </w:tcBorders>
            <w:shd w:val="clear" w:color="auto" w:fill="FFFFFF"/>
            <w:vAlign w:val="center"/>
          </w:tcPr>
          <w:p w14:paraId="20E244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引进校园共享自行车运营企业</w:t>
            </w:r>
          </w:p>
        </w:tc>
        <w:tc>
          <w:tcPr>
            <w:tcW w:w="2022" w:type="dxa"/>
            <w:tcBorders>
              <w:top w:val="outset" w:color="auto" w:sz="6" w:space="0"/>
              <w:left w:val="outset" w:color="auto" w:sz="8" w:space="0"/>
              <w:bottom w:val="outset" w:color="auto" w:sz="8" w:space="0"/>
              <w:right w:val="outset" w:color="auto" w:sz="8" w:space="0"/>
            </w:tcBorders>
            <w:shd w:val="clear" w:color="auto" w:fill="FFFFFF"/>
            <w:vAlign w:val="center"/>
          </w:tcPr>
          <w:p w14:paraId="3B04D9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遵守校园内的各项规章制度，全天候路面巡查和秩序维护，及时清理堆积车辆，整理路面车辆。配合招标人开展大型活动（包括且不限于新生报到、大型考试等）交通疏导工作等具体详见遴选文件。</w:t>
            </w:r>
          </w:p>
        </w:tc>
        <w:tc>
          <w:tcPr>
            <w:tcW w:w="2394" w:type="dxa"/>
            <w:tcBorders>
              <w:top w:val="outset" w:color="auto" w:sz="6" w:space="0"/>
              <w:left w:val="outset" w:color="auto" w:sz="8" w:space="0"/>
              <w:bottom w:val="outset" w:color="auto" w:sz="8" w:space="0"/>
              <w:right w:val="outset" w:color="auto" w:sz="8" w:space="0"/>
            </w:tcBorders>
            <w:shd w:val="clear" w:color="auto" w:fill="FFFFFF"/>
            <w:vAlign w:val="center"/>
          </w:tcPr>
          <w:p w14:paraId="1775A4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投标人需服从学校调配指派，积极配合学校加强交通管理，做好交通宣传、疏导、巡逻工作，起到交通兼职专员的职能，提供咨询、投诉和紧急救援服务等具体详见遴选文件。</w:t>
            </w:r>
          </w:p>
        </w:tc>
        <w:tc>
          <w:tcPr>
            <w:tcW w:w="935" w:type="dxa"/>
            <w:tcBorders>
              <w:top w:val="outset" w:color="auto" w:sz="6" w:space="0"/>
              <w:left w:val="outset" w:color="auto" w:sz="8" w:space="0"/>
              <w:bottom w:val="outset" w:color="auto" w:sz="8" w:space="0"/>
              <w:right w:val="outset" w:color="auto" w:sz="8" w:space="0"/>
            </w:tcBorders>
            <w:shd w:val="clear" w:color="auto" w:fill="FFFFFF"/>
            <w:vAlign w:val="center"/>
          </w:tcPr>
          <w:p w14:paraId="4C6DC3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3年</w:t>
            </w:r>
          </w:p>
        </w:tc>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2DA407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广州骑安科技有限公司按照遴选文件、投标文件、合同、相关行业标准验收。</w:t>
            </w:r>
          </w:p>
        </w:tc>
      </w:tr>
      <w:tr w14:paraId="583123DD">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rPr>
          <w:jc w:val="center"/>
        </w:trPr>
        <w:tc>
          <w:tcPr>
            <w:tcW w:w="556"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ACAF68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166"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3FBB6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03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A6551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202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B999B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2394"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8103A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93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20410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0" w:type="auto"/>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435A1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r>
    </w:tbl>
    <w:p w14:paraId="0B2781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五、评审专家（单一来源采购人员）名单：</w:t>
      </w:r>
    </w:p>
    <w:p w14:paraId="58F1E7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范云天、谢秀柱、张 威(招标人代表)</w:t>
      </w:r>
    </w:p>
    <w:p w14:paraId="5413A8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p>
    <w:p w14:paraId="25FEC8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本项目代理费收费标准：本项目一次性向入围企业收取代理服务费人民币3000元。 注：代理服务费的缴纳方式：a.入围企业应在领取入围通知书的同时按规定的标准一次性向代理机构缴纳代理服务费。b.代理服务费以银行转账、电汇、汇票或现金等付款方式交纳。c.代理服务费缴交账号：开户名：福建美环招标代理有限公司；开户行：中国建设银行股份有限公司福州晋安商业中心支行；账号：3505 0161 5541 0000 0261。</w:t>
      </w:r>
    </w:p>
    <w:p w14:paraId="23ABD7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本项目代理费总金额：0.300000 万元（人民币）</w:t>
      </w:r>
    </w:p>
    <w:p w14:paraId="55C66B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七、公告期限</w:t>
      </w:r>
    </w:p>
    <w:p w14:paraId="4CA33A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14:paraId="7B341C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八、其它补充事宜</w:t>
      </w:r>
    </w:p>
    <w:p w14:paraId="57C81A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1、投标文件审查</w:t>
      </w:r>
    </w:p>
    <w:p w14:paraId="3E9523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1.1投标人资格审查：评标委员会按照遴选文件规定的资格标准要求对各投标文件进行审查，经评标委员会评议，各投标人的投标资格均符合遴选文件要求。</w:t>
      </w:r>
    </w:p>
    <w:p w14:paraId="13243E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1.2投标文件符合性审查：评标委员会按照遴选文件规定的符合性要求对各投标文件进行审查，经评标委员会评议，各合格投标人的符合性审查情况均符合要求。</w:t>
      </w:r>
    </w:p>
    <w:p w14:paraId="0BF92A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2、合同包1：引进校园共享自行车运营企业</w:t>
      </w:r>
    </w:p>
    <w:tbl>
      <w:tblPr>
        <w:tblW w:w="96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327"/>
        <w:gridCol w:w="3186"/>
        <w:gridCol w:w="2724"/>
        <w:gridCol w:w="2401"/>
      </w:tblGrid>
      <w:tr w14:paraId="4B72EA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8" w:hRule="atLeast"/>
          <w:jc w:val="center"/>
        </w:trPr>
        <w:tc>
          <w:tcPr>
            <w:tcW w:w="3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28FD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0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266D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入围候选供应商</w:t>
            </w:r>
          </w:p>
        </w:tc>
        <w:tc>
          <w:tcPr>
            <w:tcW w:w="7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9688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报价（元）</w:t>
            </w:r>
          </w:p>
        </w:tc>
        <w:tc>
          <w:tcPr>
            <w:tcW w:w="8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0303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评审得分</w:t>
            </w:r>
          </w:p>
        </w:tc>
      </w:tr>
      <w:tr w14:paraId="536DC6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8" w:hRule="atLeast"/>
          <w:jc w:val="center"/>
        </w:trPr>
        <w:tc>
          <w:tcPr>
            <w:tcW w:w="3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5AD8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EE4B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广州骑安科技有限公司</w:t>
            </w:r>
          </w:p>
        </w:tc>
        <w:tc>
          <w:tcPr>
            <w:tcW w:w="7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0A7E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基础定价：0.9</w:t>
            </w:r>
          </w:p>
          <w:p w14:paraId="529E56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月卡定价：9.9</w:t>
            </w:r>
          </w:p>
        </w:tc>
        <w:tc>
          <w:tcPr>
            <w:tcW w:w="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C48B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90.69</w:t>
            </w:r>
          </w:p>
        </w:tc>
      </w:tr>
    </w:tbl>
    <w:p w14:paraId="49634C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3、中标日期：2024年09月18日。</w:t>
      </w:r>
    </w:p>
    <w:p w14:paraId="70D21C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本公告第七点“公告期限：自本公告发布之日起1个工作日。”根据《中华人民共和国政府采购法》是中国政府采购网的固定表述，本项目招标的依据为《中华人民共和国招标投标法》、《中华人民共和国招标投标法实施条例》，中标结果公示期：自2024年09月18日起至2024年09月28日止。</w:t>
      </w:r>
    </w:p>
    <w:p w14:paraId="4B1ECB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5、投标人或者其他利害关系人对评标结果有异议的，应当在中标结果公示期期间提出。</w:t>
      </w:r>
    </w:p>
    <w:p w14:paraId="29EFDA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九、凡对本次公告内容提出询问，请按以下方式联系。</w:t>
      </w:r>
    </w:p>
    <w:p w14:paraId="7335E2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339A86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称：福州职业技术学院　　　　　</w:t>
      </w:r>
    </w:p>
    <w:p w14:paraId="06AE55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地址：福州市闽侯上街联榕路8号　　　　　　　　</w:t>
      </w:r>
    </w:p>
    <w:p w14:paraId="37F737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联系方式：郑老师/0591-83760305　　　　　　</w:t>
      </w:r>
    </w:p>
    <w:p w14:paraId="294622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589A5E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称：福建美环招标代理有限公司　　　　　　　　　　　　</w:t>
      </w:r>
    </w:p>
    <w:p w14:paraId="7AF09C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　址：福州市鼓楼区铜盘路29号超大大厦4楼01单元　　　　　　　　　　　　</w:t>
      </w:r>
    </w:p>
    <w:p w14:paraId="7CAB4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联系方式：陈玉兴/0591-83637606 　　　　　　　　　　　　</w:t>
      </w:r>
    </w:p>
    <w:p w14:paraId="12F57F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4FAA08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项目联系人：陈玉兴</w:t>
      </w:r>
    </w:p>
    <w:p w14:paraId="2037B7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电　话：　　0591-83637606</w:t>
      </w:r>
    </w:p>
    <w:p w14:paraId="6CCC00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TUzYjY2YzE0NjFkZDdlODg2NWEyNDNlYWJiYjEifQ=="/>
  </w:docVars>
  <w:rsids>
    <w:rsidRoot w:val="66781BDF"/>
    <w:rsid w:val="6678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2024-09-18T10:28:00Z</dcterms:created>
  <dc:creator>吃肉啊</dc:creator>
  <cp:lastModifiedBy>吃肉啊</cp:lastModifiedBy>
  <dcterms:modified xsi:type="dcterms:W3CDTF">2024-09-18T10:30:38Z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A820DFE3772B4061AE1CA3D485074435_11</vt:lpwstr>
  </property>
</Properties>
</file>