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网站群维保服务(2025-2028)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79</w:t>
      </w:r>
    </w:p>
    <w:p w14:paraId="764C2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网站群维保服务(2025-2028)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09C08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供应商名称：南京苏迪科技有限公司</w:t>
      </w:r>
    </w:p>
    <w:p w14:paraId="2DD5F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供应商地址：南京市雨花台区软件大道66号6层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57000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15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08"/>
        <w:gridCol w:w="1139"/>
        <w:gridCol w:w="3714"/>
        <w:gridCol w:w="1392"/>
        <w:gridCol w:w="2294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3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1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2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  <w:t>网站群维保服务(2025-2028)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6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网站群维保服务(2025-2028)</w:t>
            </w:r>
          </w:p>
        </w:tc>
        <w:tc>
          <w:tcPr>
            <w:tcW w:w="3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应明确服务人员队伍及机制，提供7*24小时服务，确保在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系统故障时可以无间断远程支持并开展故障或服务处理工作等</w:t>
            </w:r>
          </w:p>
        </w:tc>
        <w:tc>
          <w:tcPr>
            <w:tcW w:w="1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u w:val="none"/>
                <w:lang w:val="en-US" w:eastAsia="zh-CN"/>
              </w:rPr>
              <w:t>3年</w:t>
            </w:r>
          </w:p>
        </w:tc>
        <w:tc>
          <w:tcPr>
            <w:tcW w:w="2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成交人提供的服务或使用的产品、软件等应符合国家知识产权法律、法规的规定等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0.0855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spacing w:line="5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</w:rPr>
        <w:t>陈老师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lang w:val="en-US" w:eastAsia="zh-CN"/>
        </w:rPr>
        <w:t>/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</w:rPr>
        <w:t>1360953990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bookmarkEnd w:id="0"/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1500D95"/>
    <w:rsid w:val="12B904C6"/>
    <w:rsid w:val="19060E0C"/>
    <w:rsid w:val="209F383A"/>
    <w:rsid w:val="23D85A9F"/>
    <w:rsid w:val="344F6130"/>
    <w:rsid w:val="351D6DD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698B40A1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619</Words>
  <Characters>759</Characters>
  <Lines>5</Lines>
  <Paragraphs>1</Paragraphs>
  <TotalTime>3</TotalTime>
  <ScaleCrop>false</ScaleCrop>
  <LinksUpToDate>false</LinksUpToDate>
  <CharactersWithSpaces>833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2025-06-20T05:00:26Z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