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cs="宋体"/>
          <w:color w:val="auto"/>
          <w:sz w:val="21"/>
          <w:szCs w:val="21"/>
          <w:lang w:val="en-US" w:eastAsia="zh-CN"/>
        </w:rPr>
      </w:pPr>
      <w:bookmarkStart w:id="0" w:name="_Toc6176"/>
      <w:bookmarkStart w:id="1" w:name="_Toc3261"/>
      <w:r>
        <w:rPr>
          <w:rFonts w:hint="eastAsia" w:ascii="宋体" w:hAnsi="宋体" w:eastAsia="宋体" w:cs="宋体"/>
          <w:color w:val="auto"/>
          <w:sz w:val="21"/>
          <w:szCs w:val="21"/>
        </w:rPr>
        <w:t>福州职业技术学院与职业院校数字基座数据对接服务项目</w:t>
      </w:r>
      <w:r>
        <w:rPr>
          <w:rFonts w:hint="eastAsia" w:ascii="宋体" w:hAnsi="宋体" w:cs="宋体"/>
          <w:color w:val="auto"/>
          <w:sz w:val="21"/>
          <w:szCs w:val="21"/>
          <w:lang w:val="en-US" w:eastAsia="zh-CN"/>
        </w:rPr>
        <w:t>竞价公告（竞价编号：FJSXWJ2024020）</w:t>
      </w:r>
    </w:p>
    <w:p>
      <w:pPr>
        <w:pStyle w:val="2"/>
        <w:rPr>
          <w:rFonts w:hint="default"/>
          <w:lang w:val="en-US" w:eastAsia="zh-CN"/>
        </w:rPr>
      </w:pPr>
      <w:bookmarkStart w:id="10" w:name="_GoBack"/>
      <w:bookmarkEnd w:id="10"/>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 xml:space="preserve">第一部分  </w:t>
      </w:r>
      <w:r>
        <w:rPr>
          <w:rFonts w:hint="eastAsia" w:ascii="宋体" w:hAnsi="宋体" w:eastAsia="宋体" w:cs="宋体"/>
          <w:b/>
          <w:bCs/>
          <w:color w:val="auto"/>
          <w:szCs w:val="21"/>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b/>
          <w:bCs/>
          <w:color w:val="auto"/>
          <w:szCs w:val="21"/>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eastAsia="宋体" w:cs="宋体"/>
          <w:b/>
          <w:bCs/>
          <w:color w:val="auto"/>
          <w:sz w:val="21"/>
          <w:szCs w:val="21"/>
        </w:rPr>
      </w:pPr>
      <w:bookmarkStart w:id="3" w:name="_Toc23474"/>
      <w:r>
        <w:rPr>
          <w:rFonts w:hint="eastAsia" w:ascii="宋体" w:hAnsi="宋体" w:eastAsia="宋体" w:cs="宋体"/>
          <w:b/>
          <w:bCs/>
          <w:color w:val="auto"/>
          <w:sz w:val="21"/>
          <w:szCs w:val="21"/>
        </w:rPr>
        <w:t>一、网上竞价邀请函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受福州职业技术学院委托</w:t>
      </w:r>
      <w:r>
        <w:rPr>
          <w:rFonts w:hint="eastAsia" w:ascii="宋体" w:hAnsi="宋体" w:eastAsia="宋体" w:cs="宋体"/>
          <w:color w:val="auto"/>
          <w:kern w:val="0"/>
          <w:sz w:val="21"/>
          <w:szCs w:val="21"/>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竞价编号：FJSXW</w:t>
      </w:r>
      <w:r>
        <w:rPr>
          <w:rFonts w:hint="eastAsia" w:ascii="宋体" w:hAnsi="宋体" w:eastAsia="宋体" w:cs="宋体"/>
          <w:color w:val="auto"/>
          <w:sz w:val="21"/>
          <w:szCs w:val="21"/>
          <w:lang w:val="en-US" w:eastAsia="zh-CN"/>
        </w:rPr>
        <w:t>J</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4020</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项目名称：福州职业技术学院与职业院校数字基座数据对接服务项目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货物名称、交货期及主要技术规格详见竞价内容及要求“竞价</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4.报名起止时间：20</w:t>
      </w: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 xml:space="preserve">30 </w:t>
      </w:r>
      <w:r>
        <w:rPr>
          <w:rFonts w:hint="eastAsia" w:ascii="宋体" w:hAnsi="宋体" w:eastAsia="宋体" w:cs="宋体"/>
          <w:b/>
          <w:bCs/>
          <w:color w:val="auto"/>
          <w:sz w:val="21"/>
          <w:szCs w:val="21"/>
          <w:highlight w:val="none"/>
        </w:rPr>
        <w:t>日9：00-202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日17:</w:t>
      </w:r>
      <w:r>
        <w:rPr>
          <w:rFonts w:hint="eastAsia" w:ascii="宋体" w:hAnsi="宋体" w:eastAsia="宋体" w:cs="宋体"/>
          <w:b/>
          <w:bCs/>
          <w:color w:val="auto"/>
          <w:sz w:val="21"/>
          <w:szCs w:val="21"/>
          <w:highlight w:val="none"/>
          <w:lang w:val="en-US" w:eastAsia="zh-CN"/>
        </w:rPr>
        <w:t>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5.竞价起止时间：202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:00-1</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:00</w:t>
      </w:r>
      <w:r>
        <w:rPr>
          <w:rFonts w:hint="eastAsia" w:ascii="宋体" w:hAnsi="宋体" w:eastAsia="宋体" w:cs="宋体"/>
          <w:b/>
          <w:bCs/>
          <w:color w:val="auto"/>
          <w:sz w:val="21"/>
          <w:szCs w:val="21"/>
          <w:highlight w:val="none"/>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6．网上竞价招标文件售价为</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请</w:t>
      </w:r>
      <w:r>
        <w:rPr>
          <w:rFonts w:hint="eastAsia" w:ascii="宋体" w:hAnsi="宋体" w:eastAsia="宋体" w:cs="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eastAsia="宋体" w:cs="宋体"/>
          <w:color w:val="auto"/>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吴老师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联系电话：18065142681</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  址：福州市鼓楼区鼓东街道湖东路79号外运大厦七层</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  话：0591-</w:t>
      </w:r>
      <w:r>
        <w:rPr>
          <w:rFonts w:hint="eastAsia" w:ascii="宋体" w:hAnsi="宋体" w:eastAsia="宋体" w:cs="宋体"/>
          <w:color w:val="auto"/>
          <w:sz w:val="21"/>
          <w:szCs w:val="21"/>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lang w:val="en-US" w:eastAsia="zh-CN"/>
        </w:rPr>
        <w:t>1051874670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qq</w:t>
      </w:r>
      <w:r>
        <w:rPr>
          <w:rFonts w:hint="eastAsia" w:ascii="宋体" w:hAnsi="宋体" w:eastAsia="宋体" w:cs="宋体"/>
          <w:color w:val="auto"/>
          <w:sz w:val="21"/>
          <w:szCs w:val="21"/>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9、竞价</w:t>
      </w:r>
      <w:r>
        <w:rPr>
          <w:rFonts w:hint="eastAsia" w:ascii="宋体" w:hAnsi="宋体" w:eastAsia="宋体" w:cs="宋体"/>
          <w:b/>
          <w:bCs/>
          <w:color w:val="auto"/>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eastAsia="宋体" w:cs="宋体"/>
          <w:b/>
          <w:bCs/>
          <w:color w:val="auto"/>
          <w:szCs w:val="21"/>
        </w:rPr>
      </w:pPr>
      <w:bookmarkStart w:id="4" w:name="_Toc385840943"/>
      <w:bookmarkStart w:id="5" w:name="_Toc28461"/>
      <w:r>
        <w:rPr>
          <w:rFonts w:hint="eastAsia" w:ascii="宋体" w:hAnsi="宋体" w:eastAsia="宋体" w:cs="宋体"/>
          <w:b/>
          <w:bCs/>
          <w:color w:val="auto"/>
          <w:szCs w:val="21"/>
          <w:lang w:eastAsia="zh-CN"/>
        </w:rPr>
        <w:t>二、</w:t>
      </w:r>
      <w:r>
        <w:rPr>
          <w:rFonts w:hint="eastAsia" w:ascii="宋体" w:hAnsi="宋体" w:eastAsia="宋体" w:cs="宋体"/>
          <w:b/>
          <w:bCs/>
          <w:color w:val="auto"/>
          <w:szCs w:val="21"/>
        </w:rPr>
        <w:t>竞价</w:t>
      </w:r>
      <w:r>
        <w:rPr>
          <w:rFonts w:hint="eastAsia" w:ascii="宋体" w:hAnsi="宋体" w:eastAsia="宋体" w:cs="宋体"/>
          <w:b/>
          <w:bCs/>
          <w:color w:val="auto"/>
          <w:szCs w:val="21"/>
          <w:lang w:eastAsia="zh-CN"/>
        </w:rPr>
        <w:t>采购</w:t>
      </w:r>
      <w:r>
        <w:rPr>
          <w:rFonts w:hint="eastAsia" w:ascii="宋体" w:hAnsi="宋体" w:eastAsia="宋体" w:cs="宋体"/>
          <w:b/>
          <w:bCs/>
          <w:color w:val="auto"/>
          <w:szCs w:val="21"/>
        </w:rPr>
        <w:t>一览表</w:t>
      </w:r>
      <w:bookmarkEnd w:id="4"/>
      <w:bookmarkEnd w:id="5"/>
    </w:p>
    <w:tbl>
      <w:tblPr>
        <w:tblStyle w:val="7"/>
        <w:tblW w:w="968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651"/>
        <w:gridCol w:w="1872"/>
        <w:gridCol w:w="2700"/>
        <w:gridCol w:w="1212"/>
        <w:gridCol w:w="1080"/>
        <w:gridCol w:w="1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bookmarkStart w:id="6" w:name="_Toc140042883"/>
            <w:bookmarkStart w:id="7" w:name="_Toc140400460"/>
            <w:bookmarkStart w:id="8" w:name="_Toc385840944"/>
            <w:r>
              <w:rPr>
                <w:rFonts w:hint="eastAsia" w:ascii="宋体" w:hAnsi="宋体" w:eastAsia="宋体" w:cs="宋体"/>
                <w:color w:val="auto"/>
                <w:kern w:val="0"/>
                <w:sz w:val="21"/>
                <w:szCs w:val="21"/>
              </w:rPr>
              <w:t>合同包</w:t>
            </w:r>
          </w:p>
        </w:tc>
        <w:tc>
          <w:tcPr>
            <w:tcW w:w="65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187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服务</w:t>
            </w:r>
            <w:r>
              <w:rPr>
                <w:rFonts w:hint="eastAsia" w:ascii="宋体" w:hAnsi="宋体" w:eastAsia="宋体" w:cs="宋体"/>
                <w:color w:val="auto"/>
                <w:kern w:val="0"/>
                <w:sz w:val="21"/>
                <w:szCs w:val="21"/>
              </w:rPr>
              <w:t>名称</w:t>
            </w:r>
          </w:p>
        </w:tc>
        <w:tc>
          <w:tcPr>
            <w:tcW w:w="27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服务内容</w:t>
            </w:r>
          </w:p>
        </w:tc>
        <w:tc>
          <w:tcPr>
            <w:tcW w:w="121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33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5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87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福州职业技术学院</w:t>
            </w:r>
            <w:r>
              <w:rPr>
                <w:rFonts w:hint="eastAsia" w:ascii="宋体" w:hAnsi="宋体" w:eastAsia="宋体" w:cs="宋体"/>
                <w:color w:val="auto"/>
                <w:kern w:val="0"/>
                <w:szCs w:val="21"/>
                <w:lang w:val="en-US" w:eastAsia="zh-CN"/>
              </w:rPr>
              <w:t>与</w:t>
            </w:r>
            <w:r>
              <w:rPr>
                <w:rFonts w:hint="eastAsia" w:ascii="宋体" w:hAnsi="宋体" w:eastAsia="宋体" w:cs="宋体"/>
                <w:color w:val="auto"/>
                <w:kern w:val="0"/>
                <w:szCs w:val="21"/>
              </w:rPr>
              <w:t>职业院校数字基座</w:t>
            </w:r>
            <w:r>
              <w:rPr>
                <w:rFonts w:hint="eastAsia" w:ascii="宋体" w:hAnsi="宋体" w:eastAsia="宋体" w:cs="宋体"/>
                <w:color w:val="auto"/>
                <w:kern w:val="0"/>
                <w:szCs w:val="21"/>
                <w:lang w:val="en-US" w:eastAsia="zh-CN"/>
              </w:rPr>
              <w:t>数据</w:t>
            </w:r>
            <w:r>
              <w:rPr>
                <w:rFonts w:hint="eastAsia" w:ascii="宋体" w:hAnsi="宋体" w:eastAsia="宋体" w:cs="宋体"/>
                <w:color w:val="auto"/>
                <w:kern w:val="0"/>
                <w:szCs w:val="21"/>
              </w:rPr>
              <w:t>对接服务项目</w:t>
            </w:r>
          </w:p>
        </w:tc>
        <w:tc>
          <w:tcPr>
            <w:tcW w:w="2700"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eastAsia="宋体" w:cs="宋体"/>
                <w:color w:val="auto"/>
                <w:kern w:val="0"/>
                <w:szCs w:val="21"/>
              </w:rPr>
            </w:pPr>
            <w:r>
              <w:rPr>
                <w:rFonts w:hint="eastAsia" w:ascii="宋体" w:hAnsi="宋体" w:eastAsia="宋体" w:cs="宋体"/>
                <w:color w:val="auto"/>
                <w:kern w:val="0"/>
                <w:szCs w:val="21"/>
              </w:rPr>
              <w:t>保障高职院校的数据标准制定和职业院校数字基座</w:t>
            </w:r>
            <w:r>
              <w:rPr>
                <w:rFonts w:hint="eastAsia" w:ascii="宋体" w:hAnsi="宋体" w:eastAsia="宋体" w:cs="宋体"/>
                <w:color w:val="auto"/>
                <w:kern w:val="0"/>
                <w:szCs w:val="21"/>
                <w:lang w:val="en-US" w:eastAsia="zh-CN"/>
              </w:rPr>
              <w:t>数据</w:t>
            </w:r>
            <w:r>
              <w:rPr>
                <w:rFonts w:hint="eastAsia" w:ascii="宋体" w:hAnsi="宋体" w:eastAsia="宋体" w:cs="宋体"/>
                <w:color w:val="auto"/>
                <w:kern w:val="0"/>
                <w:szCs w:val="21"/>
              </w:rPr>
              <w:t>收集上报工作顺利完成。</w:t>
            </w:r>
          </w:p>
          <w:p>
            <w:pPr>
              <w:rPr>
                <w:rFonts w:hint="eastAsia" w:ascii="宋体" w:hAnsi="宋体" w:eastAsia="宋体" w:cs="宋体"/>
                <w:color w:val="auto"/>
                <w:kern w:val="0"/>
                <w:szCs w:val="21"/>
              </w:rPr>
            </w:pPr>
            <w:r>
              <w:rPr>
                <w:rFonts w:ascii="宋体" w:hAnsi="宋体" w:eastAsia="宋体" w:cs="宋体"/>
                <w:color w:val="auto"/>
                <w:kern w:val="0"/>
                <w:szCs w:val="21"/>
              </w:rPr>
              <w:t>1、</w:t>
            </w:r>
            <w:r>
              <w:rPr>
                <w:rFonts w:hint="eastAsia" w:ascii="宋体" w:hAnsi="宋体" w:eastAsia="宋体" w:cs="宋体"/>
                <w:color w:val="auto"/>
                <w:kern w:val="0"/>
                <w:szCs w:val="21"/>
              </w:rPr>
              <w:t>职业院校数字基座报送数据对接服务一项</w:t>
            </w:r>
          </w:p>
          <w:p>
            <w:pPr>
              <w:rPr>
                <w:rFonts w:hint="eastAsia" w:ascii="宋体" w:hAnsi="宋体" w:eastAsia="宋体" w:cs="宋体"/>
                <w:color w:val="auto"/>
                <w:kern w:val="0"/>
                <w:szCs w:val="21"/>
              </w:rPr>
            </w:pPr>
            <w:r>
              <w:rPr>
                <w:rFonts w:hint="eastAsia" w:ascii="宋体" w:hAnsi="宋体" w:eastAsia="宋体" w:cs="宋体"/>
                <w:color w:val="auto"/>
                <w:kern w:val="0"/>
                <w:szCs w:val="21"/>
              </w:rPr>
              <w:t>2、职业院校数字基座已上报数据优化调整服务一项</w:t>
            </w:r>
          </w:p>
          <w:p>
            <w:pP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3、职业院校数字基座2024年新增数据对接服务一项</w:t>
            </w:r>
          </w:p>
        </w:tc>
        <w:tc>
          <w:tcPr>
            <w:tcW w:w="121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0"/>
                <w:kern w:val="0"/>
                <w:sz w:val="21"/>
                <w:szCs w:val="21"/>
                <w:lang w:val="en-US" w:eastAsia="zh-CN"/>
              </w:rPr>
              <w:t>98000</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98000</w:t>
            </w:r>
          </w:p>
        </w:tc>
        <w:tc>
          <w:tcPr>
            <w:tcW w:w="1333"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玖万捌仟元</w:t>
            </w:r>
            <w:r>
              <w:rPr>
                <w:rFonts w:hint="eastAsia" w:ascii="宋体" w:hAnsi="宋体" w:eastAsia="宋体" w:cs="宋体"/>
                <w:color w:val="auto"/>
                <w:kern w:val="0"/>
                <w:sz w:val="21"/>
                <w:szCs w:val="21"/>
                <w:lang w:eastAsia="zh-CN"/>
              </w:rPr>
              <w:t>整（￥</w:t>
            </w:r>
            <w:r>
              <w:rPr>
                <w:rFonts w:hint="eastAsia" w:ascii="宋体" w:hAnsi="宋体" w:eastAsia="宋体" w:cs="宋体"/>
                <w:color w:val="auto"/>
                <w:kern w:val="0"/>
                <w:sz w:val="21"/>
                <w:szCs w:val="21"/>
                <w:lang w:val="en-US" w:eastAsia="zh-CN"/>
              </w:rPr>
              <w:t>98000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pStyle w:val="6"/>
              <w:numPr>
                <w:ilvl w:val="0"/>
                <w:numId w:val="0"/>
              </w:numPr>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4"/>
                <w:highlight w:val="none"/>
                <w:lang w:val="en-US" w:eastAsia="zh-CN"/>
              </w:rPr>
              <w:t>备注：</w:t>
            </w:r>
          </w:p>
          <w:p>
            <w:pPr>
              <w:pStyle w:val="6"/>
              <w:numPr>
                <w:ilvl w:val="0"/>
                <w:numId w:val="0"/>
              </w:numPr>
              <w:ind w:left="0" w:leftChars="0" w:firstLine="0" w:firstLineChars="0"/>
              <w:rPr>
                <w:rFonts w:hint="default" w:ascii="宋体" w:hAnsi="宋体" w:eastAsia="宋体" w:cs="宋体"/>
                <w:b/>
                <w:bCs/>
                <w:color w:val="auto"/>
                <w:sz w:val="21"/>
                <w:szCs w:val="24"/>
                <w:highlight w:val="none"/>
                <w:lang w:val="en-US" w:eastAsia="zh-CN"/>
              </w:rPr>
            </w:pPr>
            <w:r>
              <w:rPr>
                <w:rFonts w:hint="eastAsia" w:ascii="宋体" w:hAnsi="宋体" w:eastAsia="宋体" w:cs="宋体"/>
                <w:b w:val="0"/>
                <w:bCs w:val="0"/>
                <w:color w:val="auto"/>
                <w:sz w:val="21"/>
                <w:szCs w:val="24"/>
                <w:highlight w:val="none"/>
                <w:lang w:val="en-US" w:eastAsia="zh-CN"/>
              </w:rPr>
              <w:t>本项目所涉及的所有费用应包含税费、货物生产、制造、包装、运输、人工、税收、安装调试费及安装所需的辅料、验收、保修、退换货等履行本项目所支付的所有费用。</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eastAsia="zh-CN"/>
        </w:rPr>
        <w:t>三</w:t>
      </w:r>
      <w:r>
        <w:rPr>
          <w:rFonts w:hint="eastAsia" w:ascii="宋体" w:hAnsi="宋体" w:eastAsia="宋体" w:cs="宋体"/>
          <w:b/>
          <w:bCs w:val="0"/>
          <w:color w:val="auto"/>
          <w:kern w:val="0"/>
          <w:sz w:val="21"/>
          <w:szCs w:val="21"/>
          <w:highlight w:val="none"/>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1、有能力提供本竞价文件所述货物及服务的法人、其他组织或者自然人均可能成为合格的竞价人，并提供有效的营业执照复印件或其他相应的证明文件。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5、须提供参加本项目招标活动前3年内在经营活动中没有重大违法记录和无行贿犯罪的书面声明。</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color w:val="auto"/>
          <w:kern w:val="0"/>
          <w:sz w:val="21"/>
          <w:szCs w:val="21"/>
          <w:lang w:eastAsia="zh-CN"/>
        </w:rPr>
        <w:t>报名文件请发送</w:t>
      </w:r>
      <w:r>
        <w:rPr>
          <w:rFonts w:hint="eastAsia" w:ascii="宋体" w:hAnsi="宋体" w:eastAsia="宋体" w:cs="宋体"/>
          <w:color w:val="auto"/>
          <w:kern w:val="0"/>
          <w:sz w:val="21"/>
          <w:szCs w:val="21"/>
          <w:lang w:val="en-US" w:eastAsia="zh-CN"/>
        </w:rPr>
        <w:t>1051874670@qq.com邮箱）</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591-83508520-8688进行审核并开放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1、本次采购的服务为</w:t>
      </w:r>
      <w:r>
        <w:rPr>
          <w:rFonts w:hint="eastAsia" w:ascii="宋体" w:hAnsi="宋体" w:eastAsia="宋体" w:cs="宋体"/>
          <w:b/>
          <w:bCs/>
          <w:color w:val="auto"/>
          <w:sz w:val="21"/>
          <w:szCs w:val="21"/>
          <w:highlight w:val="none"/>
          <w:lang w:val="en-US" w:eastAsia="zh-CN"/>
        </w:rPr>
        <w:t>国内</w:t>
      </w:r>
      <w:r>
        <w:rPr>
          <w:rFonts w:hint="eastAsia" w:ascii="宋体" w:hAnsi="宋体" w:eastAsia="宋体" w:cs="宋体"/>
          <w:b/>
          <w:bCs/>
          <w:color w:val="auto"/>
          <w:sz w:val="21"/>
          <w:szCs w:val="21"/>
          <w:highlight w:val="none"/>
        </w:rPr>
        <w:t>供</w:t>
      </w:r>
      <w:r>
        <w:rPr>
          <w:rFonts w:hint="eastAsia" w:ascii="宋体" w:hAnsi="宋体" w:eastAsia="宋体" w:cs="宋体"/>
          <w:b/>
          <w:bCs/>
          <w:color w:val="auto"/>
          <w:sz w:val="21"/>
          <w:szCs w:val="21"/>
          <w:highlight w:val="none"/>
          <w:lang w:val="en-US" w:eastAsia="zh-Hans"/>
        </w:rPr>
        <w:t>应</w:t>
      </w:r>
      <w:r>
        <w:rPr>
          <w:rFonts w:hint="eastAsia" w:ascii="宋体" w:hAnsi="宋体" w:eastAsia="宋体" w:cs="宋体"/>
          <w:b/>
          <w:bCs/>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2、单位负责人为同一人或者存在直接控股、管理关系的不同</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color w:val="auto"/>
          <w:sz w:val="21"/>
          <w:szCs w:val="21"/>
          <w:highlight w:val="none"/>
          <w:shd w:val="pct10" w:color="auto" w:fill="FFFFFF"/>
        </w:rPr>
      </w:pPr>
      <w:r>
        <w:rPr>
          <w:rFonts w:hint="eastAsia" w:ascii="宋体" w:hAnsi="宋体" w:eastAsia="宋体" w:cs="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eastAsia="宋体" w:cs="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在网上竞价截止时间前电子报价文件应按上述要求上传相关材料，未按此要求的，将被视为无效报价文件。电子报价文档具法律效力。</w:t>
      </w:r>
    </w:p>
    <w:p>
      <w:pPr>
        <w:widowControl/>
        <w:ind w:firstLine="422" w:firstLineChars="200"/>
        <w:jc w:val="left"/>
        <w:rPr>
          <w:rFonts w:hint="eastAsia" w:ascii="宋体" w:hAnsi="宋体" w:eastAsia="宋体" w:cs="宋体"/>
          <w:color w:val="auto"/>
          <w:sz w:val="21"/>
          <w:szCs w:val="24"/>
          <w:highlight w:val="none"/>
        </w:rPr>
      </w:pPr>
      <w:r>
        <w:rPr>
          <w:rFonts w:hint="eastAsia" w:ascii="宋体" w:hAnsi="宋体" w:eastAsia="宋体" w:cs="宋体"/>
          <w:b/>
          <w:bCs/>
          <w:color w:val="auto"/>
          <w:kern w:val="0"/>
          <w:sz w:val="21"/>
          <w:szCs w:val="21"/>
          <w:highlight w:val="none"/>
        </w:rPr>
        <w:t>在网上竞价截止时间前上传电子报价文件内容</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2024年11 月4日9:00-11:00（北京时间）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1、网上竞价公告期满，福建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招标代理有限公司以书面方式通知采购人。同时将成交结果信息在中国政府采购网(http://www.ccgp.gov.cn/)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招标代理有限公司竞价平台（http://www.fj</w:t>
      </w:r>
      <w:r>
        <w:rPr>
          <w:rFonts w:hint="eastAsia" w:ascii="宋体" w:hAnsi="宋体" w:eastAsia="宋体" w:cs="宋体"/>
          <w:color w:val="auto"/>
          <w:sz w:val="21"/>
          <w:szCs w:val="21"/>
          <w:highlight w:val="none"/>
          <w:lang w:val="en-US" w:eastAsia="zh-CN"/>
        </w:rPr>
        <w:t>s</w:t>
      </w:r>
      <w:r>
        <w:rPr>
          <w:rFonts w:hint="eastAsia" w:ascii="宋体" w:hAnsi="宋体" w:eastAsia="宋体" w:cs="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2、网上竞价公告期满，若无</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家（含）</w:t>
      </w:r>
      <w:r>
        <w:rPr>
          <w:rFonts w:hint="eastAsia" w:ascii="宋体" w:hAnsi="宋体" w:eastAsia="宋体" w:cs="宋体"/>
          <w:b/>
          <w:bCs/>
          <w:color w:val="auto"/>
          <w:sz w:val="21"/>
          <w:szCs w:val="21"/>
          <w:highlight w:val="none"/>
        </w:rPr>
        <w:t>报价人参与报价，或参与竞价的报价人报价不符合上述规定的，网上竞价无效。</w:t>
      </w:r>
    </w:p>
    <w:p>
      <w:pPr>
        <w:pStyle w:val="5"/>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3、采购单位在提出采购需求时</w:t>
      </w:r>
      <w:r>
        <w:rPr>
          <w:rFonts w:hint="eastAsia" w:ascii="宋体" w:hAnsi="宋体" w:eastAsia="宋体" w:cs="宋体"/>
          <w:b/>
          <w:bCs/>
          <w:color w:val="auto"/>
          <w:sz w:val="21"/>
          <w:szCs w:val="21"/>
          <w:highlight w:val="none"/>
          <w:lang w:eastAsia="zh-CN"/>
        </w:rPr>
        <w:t>若有</w:t>
      </w:r>
      <w:r>
        <w:rPr>
          <w:rFonts w:hint="eastAsia" w:ascii="宋体" w:hAnsi="宋体" w:eastAsia="宋体" w:cs="宋体"/>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4、报名文件审核通过或是报价最低不作为最终成交的保证。</w:t>
      </w:r>
      <w:r>
        <w:rPr>
          <w:rFonts w:hint="eastAsia" w:ascii="宋体" w:hAnsi="宋体" w:eastAsia="宋体" w:cs="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9"/>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lang w:val="en-US" w:eastAsia="zh-CN"/>
        </w:rPr>
        <w:t>5、</w:t>
      </w:r>
      <w:r>
        <w:rPr>
          <w:rStyle w:val="9"/>
          <w:rFonts w:hint="eastAsia" w:ascii="宋体" w:hAnsi="宋体" w:eastAsia="宋体" w:cs="宋体"/>
          <w:color w:val="auto"/>
          <w:kern w:val="0"/>
          <w:sz w:val="21"/>
          <w:szCs w:val="21"/>
          <w:highlight w:val="none"/>
        </w:rPr>
        <w:t>有下列情形之一的，视为竞价人相互串通竞价，其竞价结果无效:</w:t>
      </w:r>
    </w:p>
    <w:p>
      <w:pPr>
        <w:spacing w:line="240" w:lineRule="auto"/>
        <w:ind w:firstLine="420" w:firstLineChars="200"/>
        <w:jc w:val="left"/>
        <w:rPr>
          <w:rStyle w:val="9"/>
          <w:rFonts w:hint="eastAsia" w:ascii="宋体" w:hAnsi="宋体" w:eastAsia="宋体" w:cs="宋体"/>
          <w:color w:val="auto"/>
          <w:kern w:val="0"/>
          <w:sz w:val="21"/>
          <w:szCs w:val="21"/>
          <w:highlight w:val="none"/>
        </w:rPr>
      </w:pPr>
      <w:r>
        <w:rPr>
          <w:rStyle w:val="9"/>
          <w:rFonts w:hint="eastAsia" w:ascii="宋体" w:hAnsi="宋体" w:eastAsia="宋体" w:cs="宋体"/>
          <w:color w:val="auto"/>
          <w:kern w:val="0"/>
          <w:sz w:val="21"/>
          <w:szCs w:val="21"/>
          <w:highlight w:val="none"/>
        </w:rPr>
        <w:t>①不同竞价人的证明材料由同一单位或者个人编制;</w:t>
      </w:r>
    </w:p>
    <w:p>
      <w:pPr>
        <w:spacing w:line="240" w:lineRule="auto"/>
        <w:ind w:firstLine="420" w:firstLineChars="200"/>
        <w:jc w:val="left"/>
        <w:rPr>
          <w:rStyle w:val="9"/>
          <w:rFonts w:hint="eastAsia" w:ascii="宋体" w:hAnsi="宋体" w:eastAsia="宋体" w:cs="宋体"/>
          <w:color w:val="auto"/>
          <w:kern w:val="0"/>
          <w:sz w:val="21"/>
          <w:szCs w:val="21"/>
          <w:highlight w:val="none"/>
        </w:rPr>
      </w:pPr>
      <w:r>
        <w:rPr>
          <w:rStyle w:val="9"/>
          <w:rFonts w:hint="eastAsia" w:ascii="宋体" w:hAnsi="宋体" w:eastAsia="宋体" w:cs="宋体"/>
          <w:color w:val="auto"/>
          <w:kern w:val="0"/>
          <w:sz w:val="21"/>
          <w:szCs w:val="21"/>
          <w:highlight w:val="none"/>
        </w:rPr>
        <w:t>②不同竞价人委托同一单位或者个人办理竞价事宜;</w:t>
      </w:r>
    </w:p>
    <w:p>
      <w:pPr>
        <w:spacing w:line="240" w:lineRule="auto"/>
        <w:ind w:firstLine="420" w:firstLineChars="200"/>
        <w:jc w:val="left"/>
        <w:rPr>
          <w:rStyle w:val="9"/>
          <w:rFonts w:hint="eastAsia" w:ascii="宋体" w:hAnsi="宋体" w:eastAsia="宋体" w:cs="宋体"/>
          <w:color w:val="auto"/>
          <w:kern w:val="0"/>
          <w:sz w:val="21"/>
          <w:szCs w:val="21"/>
          <w:highlight w:val="none"/>
        </w:rPr>
      </w:pPr>
      <w:r>
        <w:rPr>
          <w:rStyle w:val="9"/>
          <w:rFonts w:hint="eastAsia" w:ascii="宋体" w:hAnsi="宋体" w:eastAsia="宋体" w:cs="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ascii="宋体" w:hAnsi="宋体" w:eastAsia="宋体" w:cs="宋体"/>
          <w:color w:val="auto"/>
          <w:szCs w:val="21"/>
          <w:highlight w:val="none"/>
          <w:lang w:val="en-US" w:eastAsia="zh-CN"/>
        </w:rPr>
      </w:pPr>
      <w:r>
        <w:rPr>
          <w:rStyle w:val="9"/>
          <w:rFonts w:hint="eastAsia" w:ascii="宋体" w:hAnsi="宋体" w:eastAsia="宋体" w:cs="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报价文件有上述情形之一的，认定为未对竞价文件作出实质性响应，</w:t>
      </w:r>
      <w:r>
        <w:rPr>
          <w:rFonts w:hint="eastAsia" w:ascii="宋体" w:hAnsi="宋体" w:eastAsia="宋体" w:cs="宋体"/>
          <w:b/>
          <w:bCs/>
          <w:color w:val="auto"/>
          <w:sz w:val="21"/>
          <w:szCs w:val="21"/>
          <w:highlight w:val="none"/>
        </w:rPr>
        <w:t>作无效报价处理</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1500.00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br w:type="page"/>
      </w:r>
      <w:bookmarkStart w:id="9" w:name="_Toc19561"/>
      <w:r>
        <w:rPr>
          <w:rFonts w:hint="eastAsia" w:ascii="宋体" w:hAnsi="宋体" w:eastAsia="宋体" w:cs="宋体"/>
          <w:b/>
          <w:bCs/>
          <w:color w:val="auto"/>
          <w:kern w:val="0"/>
          <w:sz w:val="21"/>
          <w:szCs w:val="21"/>
          <w:lang w:eastAsia="zh-CN"/>
        </w:rPr>
        <w:t>第二部分</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eastAsia="zh-CN"/>
        </w:rPr>
        <w:t>竞价内容及要求</w:t>
      </w:r>
      <w:bookmarkEnd w:id="9"/>
    </w:p>
    <w:p>
      <w:pPr>
        <w:snapToGrid w:val="0"/>
        <w:spacing w:line="240" w:lineRule="auto"/>
        <w:ind w:right="168" w:rightChars="80" w:firstLine="422" w:firstLineChars="200"/>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一、项目概况、技术和服务要求</w:t>
      </w:r>
    </w:p>
    <w:p>
      <w:pPr>
        <w:spacing w:line="24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竞价内容一览表</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88"/>
        <w:gridCol w:w="876"/>
        <w:gridCol w:w="1976"/>
        <w:gridCol w:w="2604"/>
        <w:gridCol w:w="948"/>
        <w:gridCol w:w="1067"/>
        <w:gridCol w:w="12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7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合同包</w:t>
            </w:r>
          </w:p>
        </w:tc>
        <w:tc>
          <w:tcPr>
            <w:tcW w:w="8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品目号</w:t>
            </w:r>
          </w:p>
        </w:tc>
        <w:tc>
          <w:tcPr>
            <w:tcW w:w="19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服务</w:t>
            </w:r>
            <w:r>
              <w:rPr>
                <w:rFonts w:hint="eastAsia" w:ascii="宋体" w:hAnsi="宋体" w:eastAsia="宋体" w:cs="宋体"/>
                <w:color w:val="auto"/>
                <w:kern w:val="0"/>
                <w:sz w:val="21"/>
                <w:szCs w:val="21"/>
              </w:rPr>
              <w:t>名称</w:t>
            </w:r>
          </w:p>
        </w:tc>
        <w:tc>
          <w:tcPr>
            <w:tcW w:w="260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服务内容</w:t>
            </w:r>
          </w:p>
        </w:tc>
        <w:tc>
          <w:tcPr>
            <w:tcW w:w="9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单价（元）</w:t>
            </w:r>
          </w:p>
        </w:tc>
        <w:tc>
          <w:tcPr>
            <w:tcW w:w="10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总价</w:t>
            </w:r>
            <w:r>
              <w:rPr>
                <w:rFonts w:hint="eastAsia" w:ascii="宋体" w:hAnsi="宋体" w:eastAsia="宋体" w:cs="宋体"/>
                <w:color w:val="auto"/>
                <w:kern w:val="0"/>
                <w:sz w:val="21"/>
                <w:szCs w:val="21"/>
              </w:rPr>
              <w:t>（元）</w:t>
            </w:r>
          </w:p>
        </w:tc>
        <w:tc>
          <w:tcPr>
            <w:tcW w:w="124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竞价</w:t>
            </w:r>
            <w:r>
              <w:rPr>
                <w:rFonts w:hint="eastAsia" w:ascii="宋体" w:hAnsi="宋体" w:eastAsia="宋体" w:cs="宋体"/>
                <w:color w:val="auto"/>
                <w:kern w:val="0"/>
                <w:sz w:val="21"/>
                <w:szCs w:val="21"/>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78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1976"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color w:val="auto"/>
                <w:kern w:val="0"/>
                <w:sz w:val="21"/>
                <w:szCs w:val="21"/>
                <w:lang w:val="en-US"/>
              </w:rPr>
            </w:pPr>
            <w:r>
              <w:rPr>
                <w:rFonts w:hint="eastAsia" w:ascii="宋体" w:hAnsi="宋体" w:eastAsia="宋体" w:cs="宋体"/>
                <w:color w:val="auto"/>
                <w:kern w:val="0"/>
                <w:szCs w:val="21"/>
              </w:rPr>
              <w:t>福州职业技术学院</w:t>
            </w:r>
            <w:r>
              <w:rPr>
                <w:rFonts w:hint="eastAsia" w:ascii="宋体" w:hAnsi="宋体" w:eastAsia="宋体" w:cs="宋体"/>
                <w:color w:val="auto"/>
                <w:kern w:val="0"/>
                <w:szCs w:val="21"/>
                <w:lang w:val="en-US" w:eastAsia="zh-CN"/>
              </w:rPr>
              <w:t>与</w:t>
            </w:r>
            <w:r>
              <w:rPr>
                <w:rFonts w:hint="eastAsia" w:ascii="宋体" w:hAnsi="宋体" w:eastAsia="宋体" w:cs="宋体"/>
                <w:color w:val="auto"/>
                <w:kern w:val="0"/>
                <w:szCs w:val="21"/>
              </w:rPr>
              <w:t>职业院校数字基座</w:t>
            </w:r>
            <w:r>
              <w:rPr>
                <w:rFonts w:hint="eastAsia" w:ascii="宋体" w:hAnsi="宋体" w:eastAsia="宋体" w:cs="宋体"/>
                <w:color w:val="auto"/>
                <w:kern w:val="0"/>
                <w:szCs w:val="21"/>
                <w:lang w:val="en-US" w:eastAsia="zh-CN"/>
              </w:rPr>
              <w:t>数据</w:t>
            </w:r>
            <w:r>
              <w:rPr>
                <w:rFonts w:hint="eastAsia" w:ascii="宋体" w:hAnsi="宋体" w:eastAsia="宋体" w:cs="宋体"/>
                <w:color w:val="auto"/>
                <w:kern w:val="0"/>
                <w:szCs w:val="21"/>
              </w:rPr>
              <w:t>对接服务项目</w:t>
            </w:r>
          </w:p>
        </w:tc>
        <w:tc>
          <w:tcPr>
            <w:tcW w:w="2604"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eastAsia="宋体" w:cs="宋体"/>
                <w:color w:val="auto"/>
                <w:kern w:val="0"/>
                <w:szCs w:val="21"/>
              </w:rPr>
            </w:pPr>
            <w:r>
              <w:rPr>
                <w:rFonts w:hint="eastAsia" w:ascii="宋体" w:hAnsi="宋体" w:eastAsia="宋体" w:cs="宋体"/>
                <w:color w:val="auto"/>
                <w:kern w:val="0"/>
                <w:szCs w:val="21"/>
              </w:rPr>
              <w:t>保障高职院校的数据标准制定和职业院校数字基座</w:t>
            </w:r>
            <w:r>
              <w:rPr>
                <w:rFonts w:hint="eastAsia" w:ascii="宋体" w:hAnsi="宋体" w:eastAsia="宋体" w:cs="宋体"/>
                <w:color w:val="auto"/>
                <w:kern w:val="0"/>
                <w:szCs w:val="21"/>
                <w:lang w:val="en-US" w:eastAsia="zh-CN"/>
              </w:rPr>
              <w:t>数据</w:t>
            </w:r>
            <w:r>
              <w:rPr>
                <w:rFonts w:hint="eastAsia" w:ascii="宋体" w:hAnsi="宋体" w:eastAsia="宋体" w:cs="宋体"/>
                <w:color w:val="auto"/>
                <w:kern w:val="0"/>
                <w:szCs w:val="21"/>
              </w:rPr>
              <w:t>收集上报工作顺利完成。</w:t>
            </w:r>
          </w:p>
          <w:p>
            <w:pPr>
              <w:rPr>
                <w:rFonts w:hint="eastAsia" w:ascii="宋体" w:hAnsi="宋体" w:eastAsia="宋体" w:cs="宋体"/>
                <w:color w:val="auto"/>
                <w:kern w:val="0"/>
                <w:szCs w:val="21"/>
              </w:rPr>
            </w:pPr>
            <w:r>
              <w:rPr>
                <w:rFonts w:ascii="宋体" w:hAnsi="宋体" w:eastAsia="宋体" w:cs="宋体"/>
                <w:color w:val="auto"/>
                <w:kern w:val="0"/>
                <w:szCs w:val="21"/>
              </w:rPr>
              <w:t>1、</w:t>
            </w:r>
            <w:r>
              <w:rPr>
                <w:rFonts w:hint="eastAsia" w:ascii="宋体" w:hAnsi="宋体" w:eastAsia="宋体" w:cs="宋体"/>
                <w:color w:val="auto"/>
                <w:kern w:val="0"/>
                <w:szCs w:val="21"/>
              </w:rPr>
              <w:t>职业院校数字基座报送数据对接服务一项</w:t>
            </w:r>
          </w:p>
          <w:p>
            <w:pPr>
              <w:rPr>
                <w:rFonts w:hint="eastAsia" w:ascii="宋体" w:hAnsi="宋体" w:eastAsia="宋体" w:cs="宋体"/>
                <w:color w:val="auto"/>
                <w:kern w:val="0"/>
                <w:szCs w:val="21"/>
              </w:rPr>
            </w:pPr>
            <w:r>
              <w:rPr>
                <w:rFonts w:hint="eastAsia" w:ascii="宋体" w:hAnsi="宋体" w:eastAsia="宋体" w:cs="宋体"/>
                <w:color w:val="auto"/>
                <w:kern w:val="0"/>
                <w:szCs w:val="21"/>
              </w:rPr>
              <w:t>2、职业院校数字基座已上报数据优化调整服务一项</w:t>
            </w: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rPr>
              <w:t>3、职业院校数字基座2024年新增数据对接服务一项</w:t>
            </w:r>
          </w:p>
        </w:tc>
        <w:tc>
          <w:tcPr>
            <w:tcW w:w="94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0"/>
                <w:kern w:val="0"/>
                <w:sz w:val="21"/>
                <w:szCs w:val="21"/>
                <w:lang w:val="en-US" w:eastAsia="zh-CN"/>
              </w:rPr>
              <w:t>98000</w:t>
            </w:r>
          </w:p>
        </w:tc>
        <w:tc>
          <w:tcPr>
            <w:tcW w:w="10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98000</w:t>
            </w:r>
          </w:p>
        </w:tc>
        <w:tc>
          <w:tcPr>
            <w:tcW w:w="1241"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500"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合同包预算</w:t>
            </w:r>
            <w:r>
              <w:rPr>
                <w:rFonts w:hint="eastAsia" w:ascii="宋体" w:hAnsi="宋体" w:eastAsia="宋体" w:cs="宋体"/>
                <w:color w:val="auto"/>
                <w:kern w:val="0"/>
                <w:sz w:val="21"/>
                <w:szCs w:val="21"/>
                <w:lang w:eastAsia="zh-CN"/>
              </w:rPr>
              <w:t>总价：人民币</w:t>
            </w:r>
            <w:r>
              <w:rPr>
                <w:rFonts w:hint="eastAsia" w:ascii="宋体" w:hAnsi="宋体" w:eastAsia="宋体" w:cs="宋体"/>
                <w:color w:val="auto"/>
                <w:kern w:val="0"/>
                <w:sz w:val="21"/>
                <w:szCs w:val="21"/>
                <w:lang w:val="en-US" w:eastAsia="zh-CN"/>
              </w:rPr>
              <w:t>玖万捌仟元</w:t>
            </w:r>
            <w:r>
              <w:rPr>
                <w:rFonts w:hint="eastAsia" w:ascii="宋体" w:hAnsi="宋体" w:eastAsia="宋体" w:cs="宋体"/>
                <w:color w:val="auto"/>
                <w:kern w:val="0"/>
                <w:sz w:val="21"/>
                <w:szCs w:val="21"/>
                <w:lang w:eastAsia="zh-CN"/>
              </w:rPr>
              <w:t>整（￥</w:t>
            </w:r>
            <w:r>
              <w:rPr>
                <w:rFonts w:hint="eastAsia" w:ascii="宋体" w:hAnsi="宋体" w:eastAsia="宋体" w:cs="宋体"/>
                <w:color w:val="auto"/>
                <w:kern w:val="0"/>
                <w:sz w:val="21"/>
                <w:szCs w:val="21"/>
                <w:lang w:val="en-US" w:eastAsia="zh-CN"/>
              </w:rPr>
              <w:t>98000</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500" w:type="dxa"/>
            <w:gridSpan w:val="7"/>
            <w:tcBorders>
              <w:top w:val="outset" w:color="auto" w:sz="6" w:space="0"/>
              <w:left w:val="outset" w:color="auto" w:sz="6" w:space="0"/>
              <w:bottom w:val="outset" w:color="auto" w:sz="6" w:space="0"/>
              <w:right w:val="outset" w:color="auto" w:sz="6" w:space="0"/>
            </w:tcBorders>
            <w:noWrap w:val="0"/>
            <w:vAlign w:val="center"/>
          </w:tcPr>
          <w:p>
            <w:pPr>
              <w:pStyle w:val="6"/>
              <w:numPr>
                <w:ilvl w:val="0"/>
                <w:numId w:val="0"/>
              </w:numPr>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4"/>
                <w:highlight w:val="none"/>
                <w:lang w:val="en-US" w:eastAsia="zh-CN"/>
              </w:rPr>
              <w:t>备注：</w:t>
            </w:r>
          </w:p>
          <w:p>
            <w:pPr>
              <w:pStyle w:val="6"/>
              <w:numPr>
                <w:ilvl w:val="0"/>
                <w:numId w:val="0"/>
              </w:numPr>
              <w:ind w:left="0" w:leftChars="0" w:firstLine="0" w:firstLineChars="0"/>
              <w:rPr>
                <w:rFonts w:hint="eastAsia" w:ascii="宋体" w:hAnsi="宋体" w:eastAsia="宋体" w:cs="宋体"/>
                <w:b/>
                <w:bCs/>
                <w:color w:val="auto"/>
                <w:sz w:val="21"/>
                <w:szCs w:val="24"/>
                <w:highlight w:val="yellow"/>
                <w:lang w:val="en-US" w:eastAsia="zh-CN"/>
              </w:rPr>
            </w:pPr>
            <w:r>
              <w:rPr>
                <w:rFonts w:hint="eastAsia" w:ascii="宋体" w:hAnsi="宋体" w:eastAsia="宋体" w:cs="宋体"/>
                <w:b w:val="0"/>
                <w:bCs w:val="0"/>
                <w:color w:val="auto"/>
                <w:sz w:val="21"/>
                <w:szCs w:val="24"/>
                <w:highlight w:val="none"/>
                <w:lang w:val="en-US" w:eastAsia="zh-CN"/>
              </w:rPr>
              <w:t>本项目所涉及的所有费用应包含税费、货物生产、制造、包装、运输、人工、税收、安装调试费及安装所需的辅料、验收、保修、退换货等履行本项目所支付的所有费用。</w:t>
            </w:r>
          </w:p>
        </w:tc>
      </w:tr>
    </w:tbl>
    <w:p>
      <w:pPr>
        <w:pageBreakBefore w:val="0"/>
        <w:widowControl/>
        <w:kinsoku/>
        <w:wordWrap/>
        <w:overflowPunct/>
        <w:topLinePunct w:val="0"/>
        <w:bidi w:val="0"/>
        <w:adjustRightInd/>
        <w:snapToGrid/>
        <w:spacing w:line="240" w:lineRule="auto"/>
        <w:ind w:firstLine="422" w:firstLineChars="200"/>
        <w:jc w:val="left"/>
        <w:rPr>
          <w:rFonts w:hint="default"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2、技术要求</w:t>
      </w:r>
    </w:p>
    <w:tbl>
      <w:tblPr>
        <w:tblStyle w:val="7"/>
        <w:tblW w:w="4926" w:type="pc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305"/>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64" w:type="pct"/>
            <w:noWrap w:val="0"/>
            <w:vAlign w:val="center"/>
          </w:tcPr>
          <w:p>
            <w:pPr>
              <w:widowControl/>
              <w:spacing w:line="240" w:lineRule="exact"/>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777" w:type="pct"/>
            <w:noWrap/>
            <w:vAlign w:val="center"/>
          </w:tcPr>
          <w:p>
            <w:pPr>
              <w:widowControl/>
              <w:spacing w:line="240" w:lineRule="exact"/>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品目名称</w:t>
            </w:r>
          </w:p>
        </w:tc>
        <w:tc>
          <w:tcPr>
            <w:tcW w:w="3857" w:type="pct"/>
            <w:noWrap/>
            <w:vAlign w:val="center"/>
          </w:tcPr>
          <w:p>
            <w:pPr>
              <w:widowControl/>
              <w:spacing w:line="240" w:lineRule="exact"/>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64" w:type="pct"/>
            <w:noWrap w:val="0"/>
            <w:vAlign w:val="center"/>
          </w:tcPr>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777" w:type="pct"/>
            <w:noWrap w:val="0"/>
            <w:vAlign w:val="center"/>
          </w:tcPr>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职业院校数字基座报送数据对接服务</w:t>
            </w:r>
          </w:p>
        </w:tc>
        <w:tc>
          <w:tcPr>
            <w:tcW w:w="3857" w:type="pct"/>
            <w:noWrap w:val="0"/>
            <w:vAlign w:val="top"/>
          </w:tcPr>
          <w:p>
            <w:pPr>
              <w:keepNext w:val="0"/>
              <w:keepLines w:val="0"/>
              <w:pageBreakBefore w:val="0"/>
              <w:widowControl w:val="0"/>
              <w:kinsoku/>
              <w:wordWrap/>
              <w:overflowPunct/>
              <w:topLinePunct w:val="0"/>
              <w:autoSpaceDE/>
              <w:autoSpaceDN/>
              <w:bidi w:val="0"/>
              <w:snapToGrid/>
              <w:spacing w:line="2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参照</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职业院校数字基座高职数据标准及接口规范（试行）V3.0</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版本</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的数据标准和元数据结构，完成新增数据的梳理和采集，通过定制化开发的数据报送接口程序，按</w:t>
            </w:r>
            <w:r>
              <w:rPr>
                <w:rFonts w:hint="eastAsia" w:ascii="宋体" w:hAnsi="宋体" w:eastAsia="宋体" w:cs="宋体"/>
                <w:color w:val="auto"/>
                <w:kern w:val="0"/>
                <w:sz w:val="21"/>
                <w:szCs w:val="21"/>
                <w:highlight w:val="none"/>
              </w:rPr>
              <w:t>照教育部给出的接口，</w:t>
            </w:r>
            <w:r>
              <w:rPr>
                <w:rFonts w:hint="eastAsia" w:ascii="宋体" w:hAnsi="宋体" w:eastAsia="宋体" w:cs="宋体"/>
                <w:color w:val="auto"/>
                <w:kern w:val="0"/>
                <w:sz w:val="21"/>
                <w:szCs w:val="21"/>
                <w:highlight w:val="none"/>
                <w:lang w:val="en-US" w:eastAsia="zh-CN"/>
              </w:rPr>
              <w:t>在学校现有数据中台上进行功能升级，</w:t>
            </w:r>
            <w:r>
              <w:rPr>
                <w:rFonts w:hint="eastAsia" w:ascii="宋体" w:hAnsi="宋体" w:eastAsia="宋体" w:cs="宋体"/>
                <w:color w:val="auto"/>
                <w:kern w:val="0"/>
                <w:sz w:val="21"/>
                <w:szCs w:val="21"/>
              </w:rPr>
              <w:t>完成新增16张数据表的相关数据与职业院校数字基座的对接报送，包括：</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课证融通关联关系数据子类表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教师画像评价维度描述数据子类表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学生画像评价维度描述数据子类表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体质测试成绩数据子类表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贫困生认定数据子类表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心理测评数据子类表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学生就业意向数据子类表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学生社会实践活动数据子类表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学生缺勤数据子类表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学生请假数据子类表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学生住宿查寝数据子类表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党员组织关系转移数据子类表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访企拓岗数据子类表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校企合作共同开发课程数据子类表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教学资源采纳基础数据子类表</w:t>
            </w:r>
          </w:p>
          <w:p>
            <w:pPr>
              <w:keepNext w:val="0"/>
              <w:keepLines w:val="0"/>
              <w:pageBreakBefore w:val="0"/>
              <w:widowControl w:val="0"/>
              <w:numPr>
                <w:ilvl w:val="0"/>
                <w:numId w:val="2"/>
              </w:numPr>
              <w:kinsoku/>
              <w:wordWrap/>
              <w:overflowPunct/>
              <w:topLinePunct w:val="0"/>
              <w:autoSpaceDE/>
              <w:autoSpaceDN/>
              <w:bidi w:val="0"/>
              <w:snapToGrid/>
              <w:spacing w:line="24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中外合作办学基础数据子类表</w:t>
            </w:r>
          </w:p>
          <w:p>
            <w:pPr>
              <w:keepNext w:val="0"/>
              <w:keepLines w:val="0"/>
              <w:pageBreakBefore w:val="0"/>
              <w:widowControl w:val="0"/>
              <w:kinsoku/>
              <w:wordWrap/>
              <w:overflowPunct/>
              <w:topLinePunct w:val="0"/>
              <w:autoSpaceDE/>
              <w:autoSpaceDN/>
              <w:bidi w:val="0"/>
              <w:snapToGrid/>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（2）数据整理</w:t>
            </w:r>
          </w:p>
          <w:p>
            <w:pPr>
              <w:keepNext w:val="0"/>
              <w:keepLines w:val="0"/>
              <w:pageBreakBefore w:val="0"/>
              <w:widowControl w:val="0"/>
              <w:kinsoku/>
              <w:wordWrap/>
              <w:overflowPunct/>
              <w:topLinePunct w:val="0"/>
              <w:autoSpaceDE/>
              <w:autoSpaceDN/>
              <w:bidi w:val="0"/>
              <w:snapToGrid/>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将上述</w:t>
            </w:r>
            <w:r>
              <w:rPr>
                <w:rFonts w:hint="eastAsia" w:ascii="宋体" w:hAnsi="宋体" w:eastAsia="宋体" w:cs="宋体"/>
                <w:color w:val="auto"/>
                <w:kern w:val="0"/>
                <w:sz w:val="21"/>
                <w:szCs w:val="21"/>
                <w:lang w:val="en-US" w:eastAsia="zh-CN"/>
              </w:rPr>
              <w:t>16</w:t>
            </w:r>
            <w:r>
              <w:rPr>
                <w:rFonts w:hint="eastAsia" w:ascii="宋体" w:hAnsi="宋体" w:eastAsia="宋体" w:cs="宋体"/>
                <w:color w:val="auto"/>
                <w:kern w:val="0"/>
                <w:sz w:val="21"/>
                <w:szCs w:val="21"/>
              </w:rPr>
              <w:t>个数据子集字段数据分为有源和无源两大类，其中有源数据是指目前已存在</w:t>
            </w:r>
            <w:r>
              <w:rPr>
                <w:rFonts w:hint="eastAsia" w:ascii="宋体" w:hAnsi="宋体" w:eastAsia="宋体" w:cs="宋体"/>
                <w:color w:val="auto"/>
                <w:kern w:val="0"/>
                <w:sz w:val="21"/>
                <w:szCs w:val="21"/>
                <w:lang w:val="en-US" w:eastAsia="zh-CN"/>
              </w:rPr>
              <w:t>学校数据中台</w:t>
            </w:r>
            <w:r>
              <w:rPr>
                <w:rFonts w:hint="eastAsia" w:ascii="宋体" w:hAnsi="宋体" w:eastAsia="宋体" w:cs="宋体"/>
                <w:color w:val="auto"/>
                <w:kern w:val="0"/>
                <w:sz w:val="21"/>
                <w:szCs w:val="21"/>
              </w:rPr>
              <w:t>，已经有对应数据，仅需要部门进行确认以及数据标准格式进行转换映射；无源数据是指目前在数据中台中，没有对接要求的相关数据，数据可能存在于业务部门的线下表格中，或者需要根据教育部要求进行数据填报采集。这部分数据就需要通过现有数据中台离线数据集成能力，创建采集表单，发布采集任务，完成“无源”数据的采集，进行上报工作。</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（3）数据采集</w:t>
            </w:r>
          </w:p>
          <w:p>
            <w:pPr>
              <w:keepNext w:val="0"/>
              <w:keepLines w:val="0"/>
              <w:pageBreakBefore w:val="0"/>
              <w:widowControl w:val="0"/>
              <w:kinsoku/>
              <w:wordWrap/>
              <w:overflowPunct/>
              <w:topLinePunct w:val="0"/>
              <w:autoSpaceDE/>
              <w:autoSpaceDN/>
              <w:bidi w:val="0"/>
              <w:snapToGrid/>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对数据梳理完成后，需将“无源”数据根据教育部要求，进行采集表格的设计，通过相应权限体系，下发到各相关部门进行数据填报或导入工作。</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（4）数据清洗</w:t>
            </w:r>
          </w:p>
          <w:p>
            <w:pPr>
              <w:pStyle w:val="4"/>
              <w:keepNext w:val="0"/>
              <w:keepLines w:val="0"/>
              <w:pageBreakBefore w:val="0"/>
              <w:widowControl w:val="0"/>
              <w:kinsoku/>
              <w:wordWrap/>
              <w:overflowPunct/>
              <w:topLinePunct w:val="0"/>
              <w:autoSpaceDE/>
              <w:autoSpaceDN/>
              <w:bidi w:val="0"/>
              <w:snapToGrid/>
              <w:spacing w:line="240" w:lineRule="exact"/>
              <w:rPr>
                <w:rFonts w:hint="eastAsia"/>
                <w:color w:val="auto"/>
                <w:sz w:val="21"/>
                <w:szCs w:val="21"/>
              </w:rPr>
            </w:pPr>
            <w:r>
              <w:rPr>
                <w:rFonts w:hint="eastAsia" w:ascii="宋体" w:hAnsi="宋体" w:eastAsia="宋体" w:cs="宋体"/>
                <w:color w:val="auto"/>
                <w:kern w:val="0"/>
                <w:sz w:val="21"/>
                <w:szCs w:val="21"/>
              </w:rPr>
              <w:t>将采集上来的数据先存储在数据湖中，同时做好历史版本及数据备份的工作。既为本次上报工作提供服务，也为学校沉淀价值数据。接下来需要参照数据的属性按域进行归类，对其他采集数据进仓，完成整、拆表，标准化清洗处理，再形成上报数据专题集市，实现专题集市中的数据与需要上报的表一一对应，以保障院校中台数据专题集市的可持续扩展性。</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（5）数据审核</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数据在上报之前，需要进行审核确认动作，由相关数据确权部门对负责数据进行审核和确认，确认无误后，提交反馈，无问题即可进行数据上报。</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（6）接口调用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联系教育部技术支撑人员获取数据推送接口IP地址和端口。</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根据要求调用用户申请资质接口，申请成功后技术支撑人会提供账号以及密码，以便后续数据推送操作。</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数据推送之前可通过技术支撑人员提供的账号和密码调用用户授权接口来获取token令牌以及refreshToken令牌，token令牌时效为5分钟，学校需在临近token令牌失效的时间，通过refreshToken令牌调用用户授权token刷新接口来获取新的Token令牌，保证授权时间不过期。</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（7）数据推送</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学校数据推送，根据方案中的数据增量采集接口，来实现数据推送。学校对已推送的数据是否成功，可通过调用增量数据结果查询接口，查看已推送数据情况。</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（8）逻辑验证</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数据推送完毕之后，联系技术支撑人员针对已推送上来的数据进行数据验证，针对验证不通过的问题数据，学校根据技术支撑人员建议重新进行推送。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364" w:type="pct"/>
            <w:noWrap w:val="0"/>
            <w:vAlign w:val="center"/>
          </w:tcPr>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777" w:type="pct"/>
            <w:noWrap w:val="0"/>
            <w:vAlign w:val="center"/>
          </w:tcPr>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职业院校数字基座已上报数据优化调整服务</w:t>
            </w:r>
          </w:p>
        </w:tc>
        <w:tc>
          <w:tcPr>
            <w:tcW w:w="3857" w:type="pct"/>
            <w:noWrap w:val="0"/>
            <w:vAlign w:val="top"/>
          </w:tcPr>
          <w:p>
            <w:pPr>
              <w:spacing w:line="240" w:lineRule="exact"/>
              <w:rPr>
                <w:rFonts w:hint="eastAsia" w:ascii="宋体" w:hAnsi="宋体" w:eastAsia="宋体" w:cs="宋体"/>
                <w:color w:val="auto"/>
                <w:kern w:val="0"/>
                <w:szCs w:val="21"/>
              </w:rPr>
            </w:pPr>
            <w:r>
              <w:rPr>
                <w:rFonts w:hint="eastAsia" w:ascii="宋体" w:hAnsi="宋体" w:eastAsia="宋体" w:cs="宋体"/>
                <w:color w:val="auto"/>
                <w:kern w:val="0"/>
                <w:szCs w:val="21"/>
              </w:rPr>
              <w:t>参照</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职业院校数字基座高职数据标准及接口规范（试行）V3.0</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版本</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的数据标准和元数据结构，对</w:t>
            </w:r>
            <w:r>
              <w:rPr>
                <w:rFonts w:hint="eastAsia" w:ascii="宋体" w:hAnsi="宋体" w:eastAsia="宋体" w:cs="宋体"/>
                <w:color w:val="auto"/>
                <w:kern w:val="0"/>
                <w:szCs w:val="21"/>
                <w:lang w:val="en-US" w:eastAsia="zh-CN"/>
              </w:rPr>
              <w:t>2023年</w:t>
            </w:r>
            <w:r>
              <w:rPr>
                <w:rFonts w:hint="eastAsia" w:ascii="宋体" w:hAnsi="宋体" w:eastAsia="宋体" w:cs="宋体"/>
                <w:color w:val="auto"/>
                <w:sz w:val="21"/>
                <w:szCs w:val="21"/>
              </w:rPr>
              <w:t>《全国职业教育智慧大脑院校中台高职数据标准及接口规范(试行)》</w:t>
            </w:r>
            <w:r>
              <w:rPr>
                <w:rFonts w:hint="eastAsia" w:ascii="宋体" w:hAnsi="宋体" w:eastAsia="宋体" w:cs="宋体"/>
                <w:color w:val="auto"/>
                <w:kern w:val="0"/>
                <w:szCs w:val="21"/>
              </w:rPr>
              <w:t>85张表的数据结构及上报接口进行优化调整，包括：</w:t>
            </w:r>
          </w:p>
          <w:p>
            <w:pPr>
              <w:numPr>
                <w:ilvl w:val="0"/>
                <w:numId w:val="3"/>
              </w:numPr>
              <w:spacing w:line="240" w:lineRule="exact"/>
              <w:rPr>
                <w:rFonts w:hint="eastAsia" w:ascii="宋体" w:hAnsi="宋体" w:eastAsia="宋体" w:cs="宋体"/>
                <w:color w:val="auto"/>
                <w:kern w:val="0"/>
                <w:szCs w:val="21"/>
              </w:rPr>
            </w:pPr>
            <w:r>
              <w:rPr>
                <w:rFonts w:hint="eastAsia" w:ascii="宋体" w:hAnsi="宋体" w:eastAsia="宋体" w:cs="宋体"/>
                <w:color w:val="auto"/>
                <w:kern w:val="0"/>
                <w:szCs w:val="21"/>
              </w:rPr>
              <w:t>更新部分数据子类表的所属子集</w:t>
            </w:r>
          </w:p>
          <w:p>
            <w:pPr>
              <w:numPr>
                <w:ilvl w:val="0"/>
                <w:numId w:val="3"/>
              </w:numPr>
              <w:spacing w:line="240" w:lineRule="exact"/>
              <w:rPr>
                <w:rFonts w:hint="eastAsia" w:ascii="宋体" w:hAnsi="宋体" w:eastAsia="宋体" w:cs="宋体"/>
                <w:color w:val="auto"/>
                <w:kern w:val="0"/>
                <w:szCs w:val="21"/>
              </w:rPr>
            </w:pPr>
            <w:r>
              <w:rPr>
                <w:rFonts w:hint="eastAsia" w:ascii="宋体" w:hAnsi="宋体" w:eastAsia="宋体" w:cs="宋体"/>
                <w:color w:val="auto"/>
                <w:kern w:val="0"/>
                <w:szCs w:val="21"/>
              </w:rPr>
              <w:t>更新部分数据子类表中的数据类型、长度及约束</w:t>
            </w:r>
          </w:p>
          <w:p>
            <w:pPr>
              <w:numPr>
                <w:ilvl w:val="0"/>
                <w:numId w:val="3"/>
              </w:numPr>
              <w:spacing w:line="240" w:lineRule="exact"/>
              <w:rPr>
                <w:rFonts w:hint="eastAsia" w:ascii="宋体" w:hAnsi="宋体" w:eastAsia="宋体" w:cs="宋体"/>
                <w:color w:val="auto"/>
                <w:kern w:val="0"/>
                <w:szCs w:val="21"/>
              </w:rPr>
            </w:pPr>
            <w:r>
              <w:rPr>
                <w:rFonts w:hint="eastAsia" w:ascii="宋体" w:hAnsi="宋体" w:eastAsia="宋体" w:cs="宋体"/>
                <w:color w:val="auto"/>
                <w:kern w:val="0"/>
                <w:szCs w:val="21"/>
              </w:rPr>
              <w:t>更新</w:t>
            </w:r>
            <w:r>
              <w:rPr>
                <w:rFonts w:ascii="宋体" w:hAnsi="宋体" w:eastAsia="宋体" w:cs="宋体"/>
                <w:color w:val="auto"/>
                <w:kern w:val="0"/>
                <w:szCs w:val="21"/>
              </w:rPr>
              <w:t>部分</w:t>
            </w:r>
            <w:r>
              <w:rPr>
                <w:rFonts w:hint="eastAsia" w:ascii="宋体" w:hAnsi="宋体" w:eastAsia="宋体" w:cs="宋体"/>
                <w:color w:val="auto"/>
                <w:kern w:val="0"/>
                <w:szCs w:val="21"/>
              </w:rPr>
              <w:t>数据子类</w:t>
            </w:r>
            <w:r>
              <w:rPr>
                <w:rFonts w:ascii="宋体" w:hAnsi="宋体" w:eastAsia="宋体" w:cs="宋体"/>
                <w:color w:val="auto"/>
                <w:kern w:val="0"/>
                <w:szCs w:val="21"/>
              </w:rPr>
              <w:t>表</w:t>
            </w:r>
            <w:r>
              <w:rPr>
                <w:rFonts w:hint="eastAsia" w:ascii="宋体" w:hAnsi="宋体" w:eastAsia="宋体" w:cs="宋体"/>
                <w:color w:val="auto"/>
                <w:kern w:val="0"/>
                <w:szCs w:val="21"/>
              </w:rPr>
              <w:t>的</w:t>
            </w:r>
            <w:r>
              <w:rPr>
                <w:rFonts w:ascii="宋体" w:hAnsi="宋体" w:eastAsia="宋体" w:cs="宋体"/>
                <w:color w:val="auto"/>
                <w:kern w:val="0"/>
                <w:szCs w:val="21"/>
              </w:rPr>
              <w:t>数据上报来源、频率、范围</w:t>
            </w:r>
          </w:p>
          <w:p>
            <w:pPr>
              <w:numPr>
                <w:ilvl w:val="0"/>
                <w:numId w:val="3"/>
              </w:numPr>
              <w:spacing w:line="240" w:lineRule="exact"/>
              <w:rPr>
                <w:rFonts w:hint="eastAsia" w:ascii="宋体" w:hAnsi="宋体" w:eastAsia="宋体" w:cs="宋体"/>
                <w:color w:val="auto"/>
                <w:kern w:val="0"/>
                <w:szCs w:val="21"/>
              </w:rPr>
            </w:pPr>
            <w:r>
              <w:rPr>
                <w:rFonts w:hint="eastAsia" w:ascii="宋体" w:hAnsi="宋体" w:eastAsia="宋体" w:cs="宋体"/>
                <w:color w:val="auto"/>
                <w:kern w:val="0"/>
                <w:szCs w:val="21"/>
              </w:rPr>
              <w:t>优化部分数据子类表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364" w:type="pct"/>
            <w:noWrap w:val="0"/>
            <w:vAlign w:val="center"/>
          </w:tcPr>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777" w:type="pct"/>
            <w:noWrap w:val="0"/>
            <w:vAlign w:val="center"/>
          </w:tcPr>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职业院校数字基座2024年新增数据对接服务</w:t>
            </w:r>
          </w:p>
        </w:tc>
        <w:tc>
          <w:tcPr>
            <w:tcW w:w="3857" w:type="pct"/>
            <w:noWrap w:val="0"/>
            <w:vAlign w:val="top"/>
          </w:tcPr>
          <w:p>
            <w:pPr>
              <w:spacing w:line="240" w:lineRule="exact"/>
              <w:rPr>
                <w:rFonts w:hint="eastAsia" w:ascii="宋体" w:hAnsi="宋体" w:eastAsia="宋体" w:cs="宋体"/>
                <w:color w:val="auto"/>
                <w:kern w:val="0"/>
                <w:szCs w:val="21"/>
              </w:rPr>
            </w:pPr>
            <w:r>
              <w:rPr>
                <w:rFonts w:hint="eastAsia" w:ascii="宋体" w:hAnsi="宋体" w:eastAsia="宋体" w:cs="宋体"/>
                <w:color w:val="auto"/>
                <w:kern w:val="0"/>
                <w:szCs w:val="21"/>
              </w:rPr>
              <w:t>参照</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职业院校数字基座高职数据标准及接口规范（试行）V3.0</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版本</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的上报频率及上报数据范围，找出</w:t>
            </w:r>
            <w:r>
              <w:rPr>
                <w:rFonts w:hint="eastAsia" w:ascii="宋体" w:hAnsi="宋体" w:eastAsia="宋体" w:cs="宋体"/>
                <w:color w:val="auto"/>
                <w:kern w:val="0"/>
                <w:szCs w:val="21"/>
                <w:lang w:val="en-US" w:eastAsia="zh-CN"/>
              </w:rPr>
              <w:t>2023年</w:t>
            </w:r>
            <w:r>
              <w:rPr>
                <w:rFonts w:hint="eastAsia" w:ascii="宋体" w:hAnsi="宋体" w:eastAsia="宋体" w:cs="宋体"/>
                <w:color w:val="auto"/>
                <w:sz w:val="21"/>
                <w:szCs w:val="21"/>
              </w:rPr>
              <w:t>《全国职业教育智慧大脑院校中台高职数据标准及接口规范(试行)》</w:t>
            </w:r>
            <w:r>
              <w:rPr>
                <w:rFonts w:hint="eastAsia" w:ascii="宋体" w:hAnsi="宋体" w:eastAsia="宋体" w:cs="宋体"/>
                <w:color w:val="auto"/>
                <w:kern w:val="0"/>
                <w:szCs w:val="21"/>
              </w:rPr>
              <w:t>85张表中，在2024年期间有新增的数据进行上报推送。</w:t>
            </w:r>
          </w:p>
        </w:tc>
      </w:tr>
    </w:tbl>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color w:val="auto"/>
          <w:kern w:val="0"/>
          <w:sz w:val="21"/>
          <w:szCs w:val="21"/>
          <w:lang w:eastAsia="zh-CN"/>
        </w:rPr>
      </w:pP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bCs/>
          <w:color w:val="auto"/>
          <w:sz w:val="21"/>
          <w:szCs w:val="21"/>
        </w:rPr>
      </w:pPr>
      <w:r>
        <w:rPr>
          <w:rFonts w:hint="eastAsia" w:ascii="宋体" w:hAnsi="宋体" w:eastAsia="宋体" w:cs="宋体"/>
          <w:b/>
          <w:color w:val="auto"/>
          <w:kern w:val="0"/>
          <w:sz w:val="21"/>
          <w:szCs w:val="21"/>
          <w:lang w:eastAsia="zh-CN"/>
        </w:rPr>
        <w:t>三、</w:t>
      </w:r>
      <w:r>
        <w:rPr>
          <w:rFonts w:hint="eastAsia" w:ascii="宋体" w:hAnsi="宋体" w:eastAsia="宋体" w:cs="宋体"/>
          <w:b/>
          <w:bCs/>
          <w:color w:val="auto"/>
          <w:sz w:val="21"/>
          <w:szCs w:val="21"/>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1、交付地点：福州职业技术学采购人指定地点。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服务时间：合同签订后30天内完成。</w:t>
      </w:r>
    </w:p>
    <w:p>
      <w:pPr>
        <w:pStyle w:val="10"/>
        <w:keepNext w:val="0"/>
        <w:keepLines w:val="0"/>
        <w:pageBreakBefore w:val="0"/>
        <w:kinsoku/>
        <w:wordWrap/>
        <w:overflowPunct/>
        <w:topLinePunct w:val="0"/>
        <w:bidi w:val="0"/>
        <w:adjustRightInd/>
        <w:snapToGrid/>
        <w:spacing w:line="240" w:lineRule="auto"/>
        <w:ind w:right="0" w:rightChars="0"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highlight w:val="none"/>
        </w:rPr>
        <w:t>付款方式与条件</w:t>
      </w:r>
      <w:r>
        <w:rPr>
          <w:rFonts w:hint="eastAsia" w:ascii="宋体" w:hAnsi="宋体" w:eastAsia="宋体" w:cs="宋体"/>
          <w:b/>
          <w:bCs/>
          <w:color w:val="auto"/>
          <w:sz w:val="21"/>
          <w:szCs w:val="21"/>
          <w:highlight w:val="none"/>
          <w:lang w:eastAsia="zh-CN"/>
        </w:rPr>
        <w:t>：</w:t>
      </w:r>
    </w:p>
    <w:p>
      <w:pPr>
        <w:pStyle w:val="2"/>
        <w:spacing w:line="240" w:lineRule="auto"/>
        <w:ind w:firstLine="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招标内容及技术参数中所有内容经安装调试，并经验收合格后，15个工作日内学校凭收讫产品的验收凭证和产品验收合格文件等材料以转账方式向成交人一次性支付100%的货物价款。</w:t>
      </w:r>
    </w:p>
    <w:p>
      <w:pPr>
        <w:pStyle w:val="2"/>
        <w:spacing w:line="240" w:lineRule="auto"/>
        <w:ind w:firstLine="0"/>
        <w:rPr>
          <w:rFonts w:hint="eastAsia" w:ascii="宋体" w:hAnsi="宋体" w:eastAsia="宋体" w:cs="宋体"/>
          <w:b/>
          <w:bCs/>
          <w:color w:val="auto"/>
          <w:sz w:val="21"/>
          <w:szCs w:val="21"/>
          <w:highlight w:val="yellow"/>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质保期：</w:t>
      </w:r>
      <w:r>
        <w:rPr>
          <w:rFonts w:hint="eastAsia" w:ascii="宋体" w:hAnsi="宋体" w:eastAsia="宋体" w:cs="宋体"/>
          <w:color w:val="auto"/>
          <w:sz w:val="21"/>
          <w:szCs w:val="21"/>
          <w:highlight w:val="none"/>
        </w:rPr>
        <w:t>免费</w:t>
      </w:r>
      <w:r>
        <w:rPr>
          <w:rFonts w:hint="eastAsia" w:ascii="宋体" w:hAnsi="宋体" w:eastAsia="宋体" w:cs="宋体"/>
          <w:color w:val="auto"/>
          <w:sz w:val="21"/>
          <w:szCs w:val="21"/>
          <w:highlight w:val="none"/>
          <w:lang w:val="en-US" w:eastAsia="zh-CN"/>
        </w:rPr>
        <w:t>维护</w:t>
      </w:r>
      <w:r>
        <w:rPr>
          <w:rFonts w:hint="eastAsia" w:ascii="宋体" w:hAnsi="宋体" w:eastAsia="宋体" w:cs="宋体"/>
          <w:color w:val="auto"/>
          <w:sz w:val="21"/>
          <w:szCs w:val="21"/>
          <w:highlight w:val="none"/>
        </w:rPr>
        <w:t>期为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年（从</w:t>
      </w:r>
      <w:r>
        <w:rPr>
          <w:rFonts w:hint="eastAsia" w:ascii="宋体" w:hAnsi="宋体" w:eastAsia="宋体" w:cs="宋体"/>
          <w:color w:val="auto"/>
          <w:sz w:val="21"/>
          <w:szCs w:val="21"/>
          <w:highlight w:val="none"/>
          <w:lang w:val="en-US" w:eastAsia="zh-CN"/>
        </w:rPr>
        <w:t>验收合格交付采购人使用</w:t>
      </w:r>
      <w:r>
        <w:rPr>
          <w:rFonts w:hint="eastAsia" w:ascii="宋体" w:hAnsi="宋体" w:eastAsia="宋体" w:cs="宋体"/>
          <w:color w:val="auto"/>
          <w:sz w:val="21"/>
          <w:szCs w:val="21"/>
          <w:highlight w:val="none"/>
        </w:rPr>
        <w:t>之日起算)</w:t>
      </w:r>
      <w:r>
        <w:rPr>
          <w:rFonts w:hint="eastAsia" w:ascii="宋体" w:hAnsi="宋体" w:eastAsia="宋体" w:cs="宋体"/>
          <w:color w:val="auto"/>
          <w:sz w:val="21"/>
          <w:szCs w:val="21"/>
          <w:highlight w:val="none"/>
          <w:lang w:eastAsia="zh-CN"/>
        </w:rPr>
        <w:t>。</w:t>
      </w:r>
    </w:p>
    <w:p>
      <w:pPr>
        <w:spacing w:line="24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5.售后服务:</w:t>
      </w:r>
      <w:r>
        <w:rPr>
          <w:rFonts w:hint="eastAsia" w:ascii="宋体" w:hAnsi="宋体" w:eastAsia="宋体" w:cs="宋体"/>
          <w:color w:val="auto"/>
          <w:sz w:val="21"/>
          <w:szCs w:val="21"/>
        </w:rPr>
        <w:t xml:space="preserve"> </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5.1项目验收完成之后，成交人应为本系统工程及其他服务成果提供为期3年的质保服务。</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5.2在质保期内，成交人应向采购人提供全面、有效、及时的技术支持和服务。成交人应说明售后服务和技术支持的范围和程度。</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5.3在质保期内，如果系统发生故障，成交人要调查故障原因并修复直至满足最终验收指标和性能的要求，或者更换整个或部分有缺陷的软件。以上都应是免费的。</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如采购人对系统有改进、增加新功能以及适应ITU－T、ISO等新标准的需求，成交人应承诺免费实现。</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5.4成交人需向采购人所提出的售后服务要求做出实质性响应，有责任指定专业人员到现场指导系统的维护工作，提供免费质保服务。同时提供长期的技术支持服务。</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注：在项目质保期内，成交人需提供至少1位售后工程师，负责系统运维调优、系统运营的人员驻场服务。</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5.5在系统测试运行、试运行和质保期内，成交人应提供7×24小时技术支持服务采购人，保证在任何时候采购人员都能及时联系到成交人的工程师。</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同时需派技术人员到现场指导维护工作，并提供5×8小时技术支持服务以解决本项目系统部署可能存在的部分缺陷问题。</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6、可能涉及的实施运维、升级更新等后续采购情况</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6.1 安全性、可靠性、经济性要求</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要求提供系统全生命周期内的BUG及安全漏洞消除、提供相关库（包含但不限于病毒库、各种特征库等）更新服务、软件版本的升级服务、接口开放对接、软件正版授权、应用定制、业务修订、产品安全应急响应、业务流程的重新适配等内容和相关费用测算；</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（2）成交人应承担对采购人的保密义务，包括但不限于对系统架构、部署情况、数据、策略、参数等的保密义务；</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成交人应规范操作采购人数据，不得越权或越界操作；未经授权不得查询、获取、存储、传输采购人数据，不得向第三方泄露采购人数据；个人信息收集、管理和使用应遵循《个人信息保护法》的个人信息处理基本原则；</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（4）系统中使用的软件产品或组件必须符合国家有关知识产权的相关法律法规；成交人保证知识产权的合法性并承担可能侵权的责任。</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6.2兼容对接要求</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（1）升级改造部分必须与现有系统兼容对接、不得要求变动原有系统软件或硬件或配置的方案；</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（2）要求所有数据接口无条件免费向采购人开放使用；日后扩充各种点位时，提供免费接入授权且数量无限制；</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（3）要求所有的数据库建立、数据格式、各种功能定制等，均必须符合采购人数据标准与规范，接受采购人的业务指导；充分考虑与采购人的数据格式互通，严禁形成数据孤岛；</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（4）新建业务系统按照采购人需求实现与现有信息化相关子系统或数据的对接，并承担与第三方对接合作的费用；</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通用器件（如硬盘等非自行生产或OEM第三方的器件），必须支持即插即用式替换，不得设置技术障碍（如设置私有协议、建立私有硬件接口等）或服务歧视政策（如用户采用第三方通用器件后拒绝售后服务等）。</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6.3人员要求</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（1）人员要求必须为成交人的自有在册在岗员工，不接受第三方的临时人员（提供人员最近半年的社保证明）、不接受转包；中标生效后必须按采购人要求一周内到采购人现场。</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项目开始进入实施后相关成员应按需驻场进行实施，为保证项目的实施质量，实施驻场人员至少包括项目经理1名，具有流程服务开发、实施经验的实施工程师1名，具有数据治理服务实施经验的实施工程师1名，驻场时间不少于15天。驻场维保服务人员应遵守采购人工作时间或值班安排，进行签到，特殊情况下随时响应；</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（3）项目经理必须为自有在册固定人员，项目完成验收前非不可抗力不得中途更换；项目经理到岗时需承诺不得同时兼任其他项目的成员。</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6.4项目维保要求</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所有项目均包含3年以上免费质保（主要设备及核心软件原则上为原厂质保）及版本更新、维保期内内业务的随时定制和修订、BUG消除、产品安全应急响应、业务流程的重新适配等相关服务，终身维修维护、软件终身免费维护及升级；仪器设备故障报修在2小时内响应，2个工作日内解决问题；产品常年提供技术支持，所需零部件及配件常年供应。</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6.5其他相关情况</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（1）若无特殊需求，系统服务器应运行在采购人智慧校园云平台上；</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（2）系统应符合采购人信息化的统一身份认证、数据交换、集成规范和标准；</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（3）系统应遵循采购人信息化编码标准和代码开发标准；</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（4）升级改造部分须与现有系统对接；</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产品应符合采购人信息化数据交换、集成的规范和标准；数据接口、数据库超级管理员账号密码、数据字典等在此项目建设过程中产生的任何数据资产无条件对采购人开放，数据接入采购人数据中心，并保证在维保期内配合采购人开展数据对接和数据治理工作，数据对接和数据治理工作费用包含在此项目中标价内；</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（6）通用器件必须支持即插即用式替换，不得设置技术障碍（如设置私有协议、建立私有硬件接口等）；</w:t>
      </w:r>
    </w:p>
    <w:p>
      <w:pPr>
        <w:pStyle w:val="11"/>
        <w:spacing w:line="24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（7）使用正版授权软件。</w:t>
      </w:r>
    </w:p>
    <w:p>
      <w:pPr>
        <w:pStyle w:val="11"/>
        <w:spacing w:line="24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7、验收要求</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.1验收标准</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.1.1</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所提供的产品必须是原装、全新的正品，符合国家的有关标准。标准：本合同所指的产品及服务应符合合同的技术规格所述的标准，如果没有提及适用标准，则应符合中华人民共和国国家标准或行业标准；如果中华人民共和国没有相关标准的，则采用产品来源国适用的官方标准。这些标准必须是有关机构发布的最新版本的标准。</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.1.2</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所提供的产品均由</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免费安装至采购人指定的位置。</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.1.3本合同价为固定价，不受时间、物价升降等因素的影响，</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需按所报清单上所列品种供货，不准以其它同类型代替。</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.1.4</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应在供货同时向采购人提供所有有关本合同执行的技术文件。如果项目必需但合同又未作规定的要</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才能提供的技术文件，</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也应及时向采购人提供。技术文件可以是手册、说明、其他形式的文件资料。</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.1.5上述技术文件应包含保证采购人能够正确进行使用、检查、测试、验收的需要的所有内容。</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.1.6所有</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提供的技术文件的全部费用已包含在合同总价中。</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.1.7所有未列明交付时间的</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应提供的技术文件，必须单独包装伴随产品按产品交付时间交付给采购人。技术文件未提供给采购人的，视为</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未完全履行交付义务。</w:t>
      </w:r>
    </w:p>
    <w:p>
      <w:pPr>
        <w:spacing w:line="24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.1.8到货后采购人如发现</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未提供有关文件，可以推迟付款，直至</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补齐有关文件</w:t>
      </w:r>
      <w:r>
        <w:rPr>
          <w:rFonts w:hint="eastAsia" w:ascii="宋体" w:hAnsi="宋体" w:eastAsia="宋体" w:cs="宋体"/>
          <w:color w:val="auto"/>
          <w:sz w:val="21"/>
          <w:szCs w:val="21"/>
          <w:lang w:eastAsia="zh-CN"/>
        </w:rPr>
        <w:t>。</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.2验收方案</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.2.1.供货验收：产品部署至采购人指 定位置后，</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和采购人一同对其全部产品、数量、功能等进行到货验收。</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应负责在项目验收时将系统的全部有关技术文件、资料、及安装、测试报告等文档汇集成册交付项目单位。</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.2.2.试运行：</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应对产品的整体性能和功能进行自检，自检结果必须符合招标文件要求及合同中的相关条款，自检合格后，转入为期5天的试运行。试运行结束后，</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应向采购人提交自检记录和试运行记录，并提出验收申请。</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.2.3.最终验收</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采购人在收到</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的验收申请后15个工作日内，采购人和</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共同进行设备的验收。相关验收程序如下：</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.2.3.1验收准备。按照具体时间、地点开验收工作准备会，明确验收内容和人员分工。</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2.3.2实地验收。根据准备会明确的分工和验收内容，按照采购合同的约定对每一项技术、服务、安全标准的履约情况开展核对工作。现场查看产品，核对产品功能、数量等相关信息是否一致，视实际条件抽测主要技术参数。</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2.3.3验收总结。验收工作完成后，召开验收总结会，由验收小组成员汇报验收情况，认真填写验收报告，验收结果经双方确认后，双方代表必须按规定的验收交接单上的项目对照本合同填好验收结果并签名盖章。验收过程中，若发现产品质量有问题</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应无条件于7天内免费更换，重新检测并调试清楚后重新提交验收申请。在此期间，</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在采购人现场进行安装、调试、集成、试运行直至验收所发生的一切费用由</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承担且已含在投标总价中。</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.3履约验收内容</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.3.1验收内容根据中标文件及采购合同清单进行验收，验收内容包括：</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产品功能、数量、技术参数核对及检测验收，完成内容包括数据子集增加、数据表增加、数据表名更新、数据表合并、数据表删除等；数据子集从原来8个数据子集增加至10个数据子集；数据表从原有85张数据表增加至98张数据表；数据项字段，从原来1122个数据项，增加至1271个数据项，并满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职业院校数字基座高职数据标准及接口规范（试行）V3.0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版本</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的数据标准和元数据结构等要求。</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(2)软件功能实现效果结合软件功能清单进行验收。</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)配套使用文档及操作视频。</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)合同中对应项目人员培训执行清单。  </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.3.2履约验收标准</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项目履约验收标准采用合同、招标文件所约定、技术参数、功能、数量，培训及售后、服务相关条款进行履约验收。</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、检验与测试</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.1交货时，</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应就产品的质量、规格、性能、数量等进行详细而全面的检验。</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.2采购人或其代表有权检验和测试产品，以确认产品是否符合要求，由此产生的费用由</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承担。</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.3如果任何被检验或测试的产品不能满足要求，采购人可以拒绝接受该产品，</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应更换被拒绝的产品，以满足要求。</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、知识产权</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须保障采购人在使用该产品或其任何一部分时不受到第三方关于侵犯专利权、商标权或工业设计权等知识产权的指控。如果任何第三方提出侵权指控与采购人无关，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须与第三方交涉并承担可能发生的责任与一切费用；如采购人因此而遭致损失的，</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应赔偿该损失。</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为执行本合同而提供的技术资料、软件、系统、数据等，采购人终身有权进行使用，</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不得主张任何费用。</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、产权与风险转移</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合同标的产权与风险转移遵守如下约定：</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.1.产品的产权以及损坏、灭失的风险在产品通过验收并交付使用前归属于</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，在产品通过验收并交付使用时起由</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转移至采购人。</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.2产权和风险的转移，不影响因</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履行义务不符合约定，采购人要求其承担违约责任的权利。</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、保密</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.1.未经采购人事先书面同意，</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不得将由采购人为本合同提供的条文、规格、计划、资料、数据提供给与本合同无关的任何第三方，不得将其用于履行本合同之外的其它用途。即使向与履行本合同有关的人员提供，也应注意保密并限于履行合同所必需的范围。</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.2.除了合同本身之外，上款所列举的任何物件均是采购人的财产。如果采购人有要求，</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在收到采购人的要求后10日内应将这些物件及全部复制件还给采购人，不得留存任何备份。</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违反本保密条款的，应支付合同总金额10%的违约金，并赔偿由此给采购人造成的任何损失。本条款在本合同履行期间至履行结束后均有效。</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、违约责任</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.1交货不符合约定或存在缺陷的</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对所供产品与合同要求不符负有责任，如经检验证实不符或缺陷存在的，包括潜在的缺陷或使用不合适的功能等，采购人可根据本合同有关质量保证或检验、验收的规定，选择下述一种或多种结合的方法解决索赔事宜：</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.1.1采购人要求退货并解除合同的，</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应承担因退货而发生的一切损失和费用，包括利息、银行手续费、检验费以及为保管、维护和退回被拒收产品所发生的其它必要费用，且还应向采购人支付合同金额5%的违约金。</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.1.2</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收到采购人书面索赔通知后7天内，未给采购人答复的，视为索赔已被</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接受。</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.2逾期交货及逾期付款的赔偿</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.2.1除不可抗力因素外，如果</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不能按照合同规定的时间交付和提供服务，应及时以书面形式将逾期的事实、可能逾期的时间和原因通知采购人。采购人收到</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通知后，将尽快作出评价，决定是否同意延长交货期及收取逾期赔偿费，逾期赔偿费的金额为采购人所遭受的所有损失。采购人在不影响合同项下的其它补救措施情况下，可从合同未付款中扣除逾期违约金，违约金按未交付产品价款的2%/天计算，逾期期限一旦达到30天，采购人有权解除合同，且</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仍应按合同约定支付违约金。违约金的支付不影响采购人向</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要求损害赔偿。</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.2.2</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未按约定提供售后 服务或给第三方造成损害的：</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如果</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未能按照合同约定的时间提供售后 服务的，每逾期1天，</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应向采购人支付本合同总额2%的违约金，若因此给采购人造成损失的，</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还应赔偿采购人所受的损失。</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保修期内，</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未尽保修义务的，采购人可自行寻求解决，</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应承担自采购人提出故障申告至采购人自行解决相应故障期间内的违约金并赔偿采购人损失，采购人由此产生的费用，由</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承担。</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.2.3采购人逾期付款的(有正当拒付理由的除外)应按照逾期金额的每日0.5%支付逾期付款违约金。</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.3因</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管理不当，致使产品的生产、包装、仓储、运输、装卸、安装、调试及验收过程中导致第三方权益受损的(如安全事故)，</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除应赔偿第三方相应的损失外，还应向采购人支付本合同总额5%的违约金。</w:t>
      </w:r>
    </w:p>
    <w:p>
      <w:pPr>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.4产品在安装及后续运行过程中，若因为产品问题造成采购人损失的，采购人有权向</w:t>
      </w:r>
      <w:r>
        <w:rPr>
          <w:rFonts w:hint="eastAsia" w:ascii="宋体" w:hAnsi="宋体" w:eastAsia="宋体" w:cs="宋体"/>
          <w:color w:val="auto"/>
          <w:sz w:val="21"/>
          <w:szCs w:val="21"/>
          <w:lang w:eastAsia="zh-CN"/>
        </w:rPr>
        <w:t>成交人</w:t>
      </w:r>
      <w:r>
        <w:rPr>
          <w:rFonts w:hint="eastAsia" w:ascii="宋体" w:hAnsi="宋体" w:eastAsia="宋体" w:cs="宋体"/>
          <w:color w:val="auto"/>
          <w:sz w:val="21"/>
          <w:szCs w:val="21"/>
        </w:rPr>
        <w:t>要求赔偿(包括但不限于赔偿损失、诉讼费、律师费等)。</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keepNext w:val="0"/>
        <w:keepLines w:val="0"/>
        <w:pageBreakBefore w:val="0"/>
        <w:widowControl/>
        <w:kinsoku/>
        <w:overflowPunct/>
        <w:topLinePunct w:val="0"/>
        <w:autoSpaceDE/>
        <w:autoSpaceDN/>
        <w:bidi w:val="0"/>
        <w:adjustRightInd/>
        <w:spacing w:line="240" w:lineRule="auto"/>
        <w:ind w:firstLine="481" w:firstLineChars="0"/>
        <w:jc w:val="left"/>
        <w:textAlignment w:val="auto"/>
        <w:outlineLvl w:val="9"/>
        <w:rPr>
          <w:rFonts w:hint="eastAsia" w:ascii="宋体" w:hAnsi="宋体" w:eastAsia="宋体" w:cs="宋体"/>
          <w:color w:val="auto"/>
          <w:kern w:val="0"/>
          <w:szCs w:val="21"/>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 xml:space="preserve">  </w:t>
      </w: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rPr>
        <w:t>202</w:t>
      </w: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年</w:t>
      </w:r>
      <w:r>
        <w:rPr>
          <w:rFonts w:hint="eastAsia" w:ascii="宋体" w:hAnsi="宋体" w:eastAsia="宋体" w:cs="宋体"/>
          <w:b/>
          <w:color w:val="auto"/>
          <w:kern w:val="0"/>
          <w:szCs w:val="21"/>
          <w:lang w:val="en-US" w:eastAsia="zh-CN"/>
        </w:rPr>
        <w:t>10</w:t>
      </w:r>
      <w:r>
        <w:rPr>
          <w:rFonts w:hint="eastAsia" w:ascii="宋体" w:hAnsi="宋体" w:eastAsia="宋体" w:cs="宋体"/>
          <w:b/>
          <w:color w:val="auto"/>
          <w:kern w:val="0"/>
          <w:szCs w:val="21"/>
        </w:rPr>
        <w:t>月</w:t>
      </w:r>
      <w:r>
        <w:rPr>
          <w:rFonts w:hint="eastAsia" w:ascii="宋体" w:hAnsi="宋体" w:eastAsia="宋体" w:cs="宋体"/>
          <w:b/>
          <w:color w:val="auto"/>
          <w:kern w:val="0"/>
          <w:szCs w:val="21"/>
          <w:lang w:val="en-US" w:eastAsia="zh-CN"/>
        </w:rPr>
        <w:t>29</w:t>
      </w:r>
      <w:r>
        <w:rPr>
          <w:rFonts w:hint="eastAsia" w:ascii="宋体" w:hAnsi="宋体" w:eastAsia="宋体" w:cs="宋体"/>
          <w:b/>
          <w:color w:val="auto"/>
          <w:kern w:val="0"/>
          <w:szCs w:val="21"/>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23D26"/>
    <w:multiLevelType w:val="singleLevel"/>
    <w:tmpl w:val="4A823D26"/>
    <w:lvl w:ilvl="0" w:tentative="0">
      <w:start w:val="1"/>
      <w:numFmt w:val="decimal"/>
      <w:lvlText w:val="%1)"/>
      <w:lvlJc w:val="left"/>
      <w:pPr>
        <w:ind w:left="425" w:hanging="425"/>
      </w:pPr>
      <w:rPr>
        <w:rFonts w:hint="default"/>
      </w:rPr>
    </w:lvl>
  </w:abstractNum>
  <w:abstractNum w:abstractNumId="1">
    <w:nsid w:val="578DECE1"/>
    <w:multiLevelType w:val="singleLevel"/>
    <w:tmpl w:val="578DECE1"/>
    <w:lvl w:ilvl="0" w:tentative="0">
      <w:start w:val="1"/>
      <w:numFmt w:val="decimal"/>
      <w:suff w:val="space"/>
      <w:lvlText w:val="%1."/>
      <w:lvlJc w:val="left"/>
    </w:lvl>
  </w:abstractNum>
  <w:abstractNum w:abstractNumId="2">
    <w:nsid w:val="7237FBE9"/>
    <w:multiLevelType w:val="singleLevel"/>
    <w:tmpl w:val="7237FBE9"/>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47EEE"/>
    <w:rsid w:val="5834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uiPriority w:val="0"/>
    <w:pPr>
      <w:ind w:firstLine="420" w:firstLineChars="200"/>
    </w:pPr>
  </w:style>
  <w:style w:type="paragraph" w:styleId="3">
    <w:name w:val="Body Text Indent"/>
    <w:basedOn w:val="1"/>
    <w:uiPriority w:val="0"/>
    <w:pPr>
      <w:spacing w:after="120"/>
      <w:ind w:left="420" w:leftChars="200"/>
    </w:pPr>
  </w:style>
  <w:style w:type="paragraph" w:styleId="4">
    <w:name w:val="Body Text"/>
    <w:basedOn w:val="1"/>
    <w:next w:val="1"/>
    <w:uiPriority w:val="0"/>
    <w:pPr>
      <w:spacing w:after="120"/>
    </w:p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3"/>
    <w:qFormat/>
    <w:uiPriority w:val="0"/>
    <w:pPr>
      <w:spacing w:before="50" w:after="120" w:line="240" w:lineRule="auto"/>
      <w:ind w:left="420" w:leftChars="200" w:firstLine="200" w:firstLineChars="200"/>
    </w:pPr>
    <w:rPr>
      <w:rFonts w:ascii="Times New Roman" w:eastAsia="宋体"/>
      <w:sz w:val="21"/>
      <w:szCs w:val="24"/>
    </w:rPr>
  </w:style>
  <w:style w:type="character" w:customStyle="1" w:styleId="9">
    <w:name w:val="NormalCharacter"/>
    <w:qFormat/>
    <w:uiPriority w:val="0"/>
    <w:rPr>
      <w:rFonts w:ascii="Calibri" w:hAnsi="Calibri" w:cs="宋体"/>
      <w:kern w:val="2"/>
      <w:sz w:val="21"/>
      <w:szCs w:val="24"/>
      <w:lang w:val="en-US" w:eastAsia="zh-CN" w:bidi="ar-SA"/>
    </w:rPr>
  </w:style>
  <w:style w:type="paragraph" w:customStyle="1" w:styleId="10">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11">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2024-10-29T09:13:00Z</dcterms:created>
  <dc:creator>Administrator</dc:creator>
  <cp:lastModifiedBy>Administrator</cp:lastModifiedBy>
  <dcterms:modified xsi:type="dcterms:W3CDTF">2024-10-29T09:15:15Z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