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jc w:val="center"/>
        <w:rPr>
          <w:rFonts w:hint="eastAsia" w:ascii="黑体" w:hAnsi="黑体" w:eastAsia="黑体" w:cs="黑体"/>
          <w:b/>
          <w:bCs w:val="0"/>
          <w:color w:val="FF0000"/>
          <w:spacing w:val="40"/>
          <w:w w:val="80"/>
          <w:kern w:val="0"/>
          <w:sz w:val="72"/>
          <w:szCs w:val="72"/>
        </w:rPr>
      </w:pPr>
      <w:bookmarkStart w:id="0" w:name="_GoBack"/>
      <w:bookmarkEnd w:id="0"/>
      <w:r>
        <w:rPr>
          <w:rFonts w:hint="eastAsia" w:ascii="黑体" w:hAnsi="黑体" w:eastAsia="黑体" w:cs="黑体"/>
          <w:b/>
          <w:bCs w:val="0"/>
          <w:color w:val="FF0000"/>
          <w:spacing w:val="40"/>
          <w:w w:val="80"/>
          <w:kern w:val="0"/>
          <w:sz w:val="72"/>
          <w:szCs w:val="72"/>
        </w:rPr>
        <w:t>福州职业技术学院学生工处</w:t>
      </w:r>
    </w:p>
    <w:p>
      <w:pPr>
        <w:spacing w:line="580" w:lineRule="exact"/>
        <w:ind w:firstLine="2500" w:firstLineChars="2500"/>
        <w:rPr>
          <w:rFonts w:hint="eastAsia" w:ascii="仿宋_GB2312" w:eastAsia="仿宋_GB2312"/>
          <w:sz w:val="10"/>
          <w:szCs w:val="32"/>
        </w:rPr>
      </w:pPr>
    </w:p>
    <w:p>
      <w:pPr>
        <w:spacing w:line="580" w:lineRule="exact"/>
        <w:jc w:val="center"/>
        <w:rPr>
          <w:rFonts w:hint="eastAsia" w:ascii="仿宋_GB2312" w:hAnsi="仿宋" w:eastAsia="仿宋_GB2312"/>
          <w:sz w:val="32"/>
          <w:szCs w:val="32"/>
        </w:rPr>
      </w:pPr>
      <w:r>
        <w:rPr>
          <w:rFonts w:hint="eastAsia" w:ascii="仿宋_GB2312" w:eastAsia="仿宋_GB2312"/>
          <w:sz w:val="10"/>
          <w:szCs w:val="32"/>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392430</wp:posOffset>
                </wp:positionV>
                <wp:extent cx="5600700" cy="1905"/>
                <wp:effectExtent l="0" t="13970" r="0" b="22225"/>
                <wp:wrapNone/>
                <wp:docPr id="4" name="直接连接符 4"/>
                <wp:cNvGraphicFramePr/>
                <a:graphic xmlns:a="http://schemas.openxmlformats.org/drawingml/2006/main">
                  <a:graphicData uri="http://schemas.microsoft.com/office/word/2010/wordprocessingShape">
                    <wps:wsp>
                      <wps:cNvCnPr/>
                      <wps:spPr>
                        <a:xfrm>
                          <a:off x="0" y="0"/>
                          <a:ext cx="5600700" cy="190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5pt;margin-top:30.9pt;height:0.15pt;width:441pt;z-index:251659264;mso-width-relative:page;mso-height-relative:page;" filled="f" stroked="t" coordsize="21600,21600" o:gfxdata="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LtqdcAAAAIAQAADwAAAAAAAAABACAAAAAiAAAAZHJzL2Rvd25y&#10;ZXYueG1sUEsBAhQAFAAAAAgAh07iQAixAdn/AQAA9gMAAA4AAAAAAAAAAQAgAAAAJgEAAGRycy9l&#10;Mm9Eb2MueG1sUEsFBgAAAAAGAAYAWQEAAJcFAAAAAA==&#10;">
                <v:fill on="f" focussize="0,0"/>
                <v:stroke weight="2.25pt" color="#FF0000" joinstyle="round"/>
                <v:imagedata o:title=""/>
                <o:lock v:ext="edit" aspectratio="f"/>
              </v:line>
            </w:pict>
          </mc:Fallback>
        </mc:AlternateContent>
      </w:r>
      <w:r>
        <w:rPr>
          <w:rFonts w:hint="eastAsia" w:ascii="仿宋_GB2312" w:hAnsi="仿宋" w:eastAsia="仿宋_GB2312"/>
          <w:sz w:val="32"/>
          <w:szCs w:val="32"/>
        </w:rPr>
        <w:t>榕职院学〔202</w:t>
      </w: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val="en-US" w:eastAsia="zh-CN"/>
        </w:rPr>
        <w:t>22</w:t>
      </w:r>
      <w:r>
        <w:rPr>
          <w:rFonts w:hint="eastAsia" w:ascii="仿宋_GB2312" w:hAnsi="仿宋" w:eastAsia="仿宋_GB2312"/>
          <w:sz w:val="32"/>
          <w:szCs w:val="32"/>
        </w:rPr>
        <w:t>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720" w:firstLineChars="200"/>
        <w:jc w:val="left"/>
        <w:textAlignment w:val="auto"/>
        <w:rPr>
          <w:rFonts w:hint="eastAsia" w:ascii="黑体" w:hAnsi="黑体" w:eastAsia="黑体" w:cs="黑体"/>
          <w:sz w:val="36"/>
          <w:szCs w:val="36"/>
          <w:lang w:val="en-US" w:eastAsia="zh-CN"/>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关于下发《福州职业技术学院学生日常教育管理工作绩效考核细则（修订）》的通知</w:t>
      </w:r>
    </w:p>
    <w:p>
      <w:pPr>
        <w:jc w:val="center"/>
      </w:pPr>
    </w:p>
    <w:p>
      <w:pPr>
        <w:rPr>
          <w:rFonts w:ascii="仿宋_GB2312" w:eastAsia="仿宋_GB2312"/>
          <w:sz w:val="30"/>
          <w:szCs w:val="30"/>
        </w:rPr>
      </w:pPr>
      <w:r>
        <w:rPr>
          <w:rFonts w:hint="eastAsia" w:ascii="仿宋_GB2312" w:eastAsia="仿宋_GB2312"/>
          <w:sz w:val="30"/>
          <w:szCs w:val="30"/>
        </w:rPr>
        <w:t>各二级学院：</w:t>
      </w:r>
    </w:p>
    <w:p>
      <w:pPr>
        <w:ind w:firstLine="600" w:firstLineChars="200"/>
        <w:rPr>
          <w:rFonts w:hint="eastAsia" w:ascii="仿宋_GB2312" w:eastAsia="仿宋_GB2312"/>
          <w:sz w:val="30"/>
          <w:szCs w:val="30"/>
        </w:rPr>
      </w:pPr>
      <w:r>
        <w:rPr>
          <w:rFonts w:hint="eastAsia" w:ascii="仿宋_GB2312" w:eastAsia="仿宋_GB2312"/>
          <w:sz w:val="30"/>
          <w:szCs w:val="30"/>
        </w:rPr>
        <w:t>为了更好完成二级学院学生日常教育管理工作，学生工作处对《福州职业技术学院学生日常教育管理工作绩效考核细则》，进行修订，现下发给你们，请认真遵照执行。</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r>
        <w:rPr>
          <w:rFonts w:hint="eastAsia" w:ascii="仿宋_GB2312" w:eastAsia="仿宋_GB2312"/>
          <w:sz w:val="30"/>
          <w:szCs w:val="30"/>
        </w:rPr>
        <w:t xml:space="preserve">                               学生工作处</w:t>
      </w:r>
    </w:p>
    <w:p>
      <w:pPr>
        <w:ind w:firstLine="600" w:firstLineChars="200"/>
        <w:rPr>
          <w:rFonts w:hint="eastAsia" w:ascii="仿宋_GB2312" w:eastAsia="仿宋_GB2312"/>
          <w:sz w:val="30"/>
          <w:szCs w:val="30"/>
        </w:rPr>
      </w:pPr>
      <w:r>
        <w:rPr>
          <w:rFonts w:hint="eastAsia" w:ascii="仿宋_GB2312" w:eastAsia="仿宋_GB2312"/>
          <w:sz w:val="30"/>
          <w:szCs w:val="30"/>
        </w:rPr>
        <w:t xml:space="preserve">                            202</w:t>
      </w:r>
      <w:r>
        <w:rPr>
          <w:rFonts w:hint="eastAsia" w:ascii="仿宋_GB2312" w:eastAsia="仿宋_GB2312"/>
          <w:sz w:val="30"/>
          <w:szCs w:val="30"/>
          <w:lang w:val="en-US" w:eastAsia="zh-CN"/>
        </w:rPr>
        <w:t>4</w:t>
      </w:r>
      <w:r>
        <w:rPr>
          <w:rFonts w:hint="eastAsia" w:ascii="仿宋_GB2312" w:eastAsia="仿宋_GB2312"/>
          <w:sz w:val="30"/>
          <w:szCs w:val="30"/>
        </w:rPr>
        <w:t>年</w:t>
      </w:r>
      <w:r>
        <w:rPr>
          <w:rFonts w:hint="eastAsia" w:ascii="仿宋_GB2312" w:eastAsia="仿宋_GB2312"/>
          <w:sz w:val="30"/>
          <w:szCs w:val="30"/>
          <w:lang w:val="en-US" w:eastAsia="zh-CN"/>
        </w:rPr>
        <w:t>4</w:t>
      </w:r>
      <w:r>
        <w:rPr>
          <w:rFonts w:hint="eastAsia" w:ascii="仿宋_GB2312" w:eastAsia="仿宋_GB2312"/>
          <w:sz w:val="30"/>
          <w:szCs w:val="30"/>
        </w:rPr>
        <w:t>月</w:t>
      </w:r>
      <w:r>
        <w:rPr>
          <w:rFonts w:hint="eastAsia" w:ascii="仿宋_GB2312" w:eastAsia="仿宋_GB2312"/>
          <w:sz w:val="30"/>
          <w:szCs w:val="30"/>
          <w:lang w:val="en-US" w:eastAsia="zh-CN"/>
        </w:rPr>
        <w:t>10</w:t>
      </w:r>
      <w:r>
        <w:rPr>
          <w:rFonts w:hint="eastAsia" w:ascii="仿宋_GB2312" w:eastAsia="仿宋_GB2312"/>
          <w:sz w:val="30"/>
          <w:szCs w:val="30"/>
        </w:rPr>
        <w:t>日</w:t>
      </w:r>
    </w:p>
    <w:p>
      <w:pPr>
        <w:jc w:val="center"/>
        <w:rPr>
          <w:rFonts w:hint="eastAsia" w:ascii="方正小标宋简体" w:eastAsia="方正小标宋简体"/>
          <w:color w:val="auto"/>
          <w:sz w:val="36"/>
          <w:szCs w:val="36"/>
          <w:highlight w:val="none"/>
        </w:rPr>
      </w:pPr>
    </w:p>
    <w:p>
      <w:pPr>
        <w:jc w:val="center"/>
        <w:rPr>
          <w:rFonts w:hint="eastAsia" w:ascii="方正小标宋简体" w:eastAsia="方正小标宋简体"/>
          <w:color w:val="auto"/>
          <w:sz w:val="36"/>
          <w:szCs w:val="36"/>
          <w:highlight w:val="none"/>
        </w:rPr>
      </w:pPr>
    </w:p>
    <w:p>
      <w:pPr>
        <w:jc w:val="center"/>
        <w:rPr>
          <w:rFonts w:hint="eastAsia" w:ascii="方正小标宋简体" w:eastAsia="方正小标宋简体"/>
          <w:color w:val="auto"/>
          <w:sz w:val="36"/>
          <w:szCs w:val="36"/>
          <w:highlight w:val="none"/>
        </w:rPr>
      </w:pPr>
    </w:p>
    <w:p>
      <w:pPr>
        <w:jc w:val="center"/>
        <w:rPr>
          <w:rFonts w:hint="eastAsia" w:ascii="方正小标宋简体" w:eastAsia="方正小标宋简体"/>
          <w:color w:val="auto"/>
          <w:sz w:val="36"/>
          <w:szCs w:val="36"/>
          <w:highlight w:val="none"/>
        </w:rPr>
      </w:pPr>
    </w:p>
    <w:p>
      <w:pPr>
        <w:jc w:val="center"/>
        <w:rPr>
          <w:rFonts w:hint="eastAsia" w:ascii="方正小标宋简体" w:eastAsia="方正小标宋简体"/>
          <w:color w:val="auto"/>
          <w:sz w:val="36"/>
          <w:szCs w:val="36"/>
          <w:highlight w:val="none"/>
        </w:rPr>
      </w:pPr>
    </w:p>
    <w:p>
      <w:pPr>
        <w:jc w:val="center"/>
        <w:rPr>
          <w:rFonts w:hint="eastAsia" w:ascii="方正小标宋简体" w:eastAsia="方正小标宋简体"/>
          <w:color w:val="auto"/>
          <w:sz w:val="36"/>
          <w:szCs w:val="36"/>
          <w:highlight w:val="none"/>
        </w:rPr>
      </w:pPr>
    </w:p>
    <w:p>
      <w:pPr>
        <w:jc w:val="center"/>
        <w:rPr>
          <w:rFonts w:hint="eastAsia" w:ascii="方正小标宋简体" w:eastAsia="方正小标宋简体"/>
          <w:color w:val="auto"/>
          <w:sz w:val="36"/>
          <w:szCs w:val="36"/>
          <w:highlight w:val="none"/>
        </w:rPr>
      </w:pPr>
    </w:p>
    <w:p>
      <w:pPr>
        <w:jc w:val="center"/>
        <w:rPr>
          <w:rFonts w:hint="eastAsia" w:ascii="方正小标宋简体" w:eastAsia="方正小标宋简体"/>
          <w:color w:val="auto"/>
          <w:sz w:val="36"/>
          <w:szCs w:val="36"/>
          <w:highlight w:val="none"/>
        </w:rPr>
      </w:pPr>
      <w:r>
        <w:rPr>
          <w:rFonts w:hint="eastAsia" w:ascii="方正小标宋简体" w:eastAsia="方正小标宋简体"/>
          <w:color w:val="auto"/>
          <w:sz w:val="36"/>
          <w:szCs w:val="36"/>
          <w:highlight w:val="none"/>
        </w:rPr>
        <w:t>福州职业技术学院</w:t>
      </w:r>
    </w:p>
    <w:p>
      <w:pPr>
        <w:jc w:val="center"/>
        <w:rPr>
          <w:rFonts w:hint="eastAsia" w:ascii="仿宋_GB2312" w:eastAsia="方正小标宋简体"/>
          <w:color w:val="auto"/>
          <w:sz w:val="30"/>
          <w:szCs w:val="30"/>
          <w:highlight w:val="none"/>
          <w:lang w:eastAsia="zh-CN"/>
        </w:rPr>
      </w:pPr>
      <w:r>
        <w:rPr>
          <w:rFonts w:hint="eastAsia" w:ascii="方正小标宋简体" w:eastAsia="方正小标宋简体"/>
          <w:color w:val="auto"/>
          <w:sz w:val="36"/>
          <w:szCs w:val="36"/>
          <w:highlight w:val="none"/>
        </w:rPr>
        <w:t>学生日常教育管理工作绩效考核细则</w:t>
      </w:r>
      <w:r>
        <w:rPr>
          <w:rFonts w:hint="eastAsia" w:ascii="方正小标宋简体" w:eastAsia="方正小标宋简体"/>
          <w:color w:val="auto"/>
          <w:sz w:val="36"/>
          <w:szCs w:val="36"/>
          <w:highlight w:val="none"/>
          <w:lang w:eastAsia="zh-CN"/>
        </w:rPr>
        <w:t>（修订）</w:t>
      </w:r>
    </w:p>
    <w:tbl>
      <w:tblPr>
        <w:tblStyle w:val="2"/>
        <w:tblW w:w="9285" w:type="dxa"/>
        <w:tblInd w:w="-231" w:type="dxa"/>
        <w:tblLayout w:type="autofit"/>
        <w:tblCellMar>
          <w:top w:w="0" w:type="dxa"/>
          <w:left w:w="108" w:type="dxa"/>
          <w:bottom w:w="0" w:type="dxa"/>
          <w:right w:w="108" w:type="dxa"/>
        </w:tblCellMar>
      </w:tblPr>
      <w:tblGrid>
        <w:gridCol w:w="1029"/>
        <w:gridCol w:w="870"/>
        <w:gridCol w:w="1993"/>
        <w:gridCol w:w="3698"/>
        <w:gridCol w:w="1695"/>
      </w:tblGrid>
      <w:tr>
        <w:tblPrEx>
          <w:tblCellMar>
            <w:top w:w="0" w:type="dxa"/>
            <w:left w:w="108" w:type="dxa"/>
            <w:bottom w:w="0" w:type="dxa"/>
            <w:right w:w="108" w:type="dxa"/>
          </w:tblCellMar>
        </w:tblPrEx>
        <w:trPr>
          <w:trHeight w:val="450" w:hRule="atLeast"/>
        </w:trPr>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一级指标</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二级指标</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观察点</w:t>
            </w:r>
          </w:p>
        </w:tc>
        <w:tc>
          <w:tcPr>
            <w:tcW w:w="3698"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考核细则</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佐证材料</w:t>
            </w:r>
          </w:p>
        </w:tc>
      </w:tr>
      <w:tr>
        <w:tblPrEx>
          <w:tblCellMar>
            <w:top w:w="0" w:type="dxa"/>
            <w:left w:w="108" w:type="dxa"/>
            <w:bottom w:w="0" w:type="dxa"/>
            <w:right w:w="108" w:type="dxa"/>
          </w:tblCellMar>
        </w:tblPrEx>
        <w:trPr>
          <w:trHeight w:val="2000" w:hRule="atLeast"/>
        </w:trPr>
        <w:tc>
          <w:tcPr>
            <w:tcW w:w="1029"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工作重视</w:t>
            </w:r>
            <w:r>
              <w:rPr>
                <w:rFonts w:hint="eastAsia" w:ascii="宋体" w:hAnsi="宋体" w:cs="宋体"/>
                <w:color w:val="auto"/>
                <w:kern w:val="0"/>
                <w:sz w:val="18"/>
                <w:szCs w:val="18"/>
                <w:highlight w:val="none"/>
                <w:lang w:val="en-US" w:eastAsia="zh-CN"/>
              </w:rPr>
              <w:t>15</w:t>
            </w:r>
            <w:r>
              <w:rPr>
                <w:rFonts w:hint="eastAsia" w:ascii="宋体" w:hAnsi="宋体" w:cs="宋体"/>
                <w:color w:val="auto"/>
                <w:kern w:val="0"/>
                <w:sz w:val="18"/>
                <w:szCs w:val="18"/>
                <w:highlight w:val="none"/>
              </w:rPr>
              <w:t>%</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贯彻学校学生工作布置情况</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7</w:t>
            </w:r>
            <w:r>
              <w:rPr>
                <w:rFonts w:hint="eastAsia" w:ascii="宋体" w:hAnsi="宋体" w:cs="宋体"/>
                <w:color w:val="auto"/>
                <w:kern w:val="0"/>
                <w:sz w:val="18"/>
                <w:szCs w:val="18"/>
                <w:highlight w:val="none"/>
              </w:rPr>
              <w:t>分）</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对学校安排的学生工作能认真贯彻执行，在规定时间内能很好地完成任务，效果显著。</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5</w:t>
            </w:r>
            <w:r>
              <w:rPr>
                <w:rFonts w:hint="eastAsia" w:ascii="宋体" w:hAnsi="宋体" w:cs="宋体"/>
                <w:color w:val="auto"/>
                <w:kern w:val="0"/>
                <w:sz w:val="18"/>
                <w:szCs w:val="18"/>
                <w:highlight w:val="none"/>
              </w:rPr>
              <w:t>分。学年按时、准确报送材料，完成工作任务</w:t>
            </w:r>
            <w:r>
              <w:rPr>
                <w:rFonts w:hint="eastAsia" w:ascii="宋体" w:hAnsi="宋体" w:cs="宋体"/>
                <w:color w:val="auto"/>
                <w:kern w:val="0"/>
                <w:sz w:val="18"/>
                <w:szCs w:val="18"/>
                <w:highlight w:val="none"/>
                <w:lang w:eastAsia="zh-CN"/>
              </w:rPr>
              <w:t>，得</w:t>
            </w:r>
            <w:r>
              <w:rPr>
                <w:rFonts w:hint="eastAsia" w:ascii="宋体" w:hAnsi="宋体" w:cs="宋体"/>
                <w:color w:val="auto"/>
                <w:kern w:val="0"/>
                <w:sz w:val="18"/>
                <w:szCs w:val="18"/>
                <w:highlight w:val="none"/>
                <w:lang w:val="en-US" w:eastAsia="zh-CN"/>
              </w:rPr>
              <w:t>5分。</w:t>
            </w:r>
            <w:r>
              <w:rPr>
                <w:rFonts w:hint="eastAsia" w:ascii="宋体" w:hAnsi="宋体" w:cs="宋体"/>
                <w:color w:val="auto"/>
                <w:kern w:val="0"/>
                <w:sz w:val="18"/>
                <w:szCs w:val="18"/>
                <w:highlight w:val="none"/>
              </w:rPr>
              <w:t>未按时完成任务、报送材料、材料有误影响学校工作的，视情况扣0.1-1分/次。</w:t>
            </w:r>
          </w:p>
          <w:p>
            <w:pPr>
              <w:widowControl/>
              <w:jc w:val="lef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2分。</w:t>
            </w:r>
            <w:r>
              <w:rPr>
                <w:rFonts w:hint="eastAsia" w:ascii="宋体" w:hAnsi="宋体" w:cs="宋体"/>
                <w:color w:val="auto"/>
                <w:kern w:val="0"/>
                <w:sz w:val="18"/>
                <w:szCs w:val="18"/>
                <w:highlight w:val="none"/>
              </w:rPr>
              <w:t>定期维护并更新学工系统、基本信息完善：带班情况、公寓入住情况、学生个人信息基本字段等信息及时录入。系统信息更新不及时、不完善</w:t>
            </w:r>
            <w:r>
              <w:rPr>
                <w:rFonts w:hint="eastAsia" w:ascii="宋体" w:hAnsi="宋体" w:cs="宋体"/>
                <w:color w:val="auto"/>
                <w:kern w:val="0"/>
                <w:sz w:val="18"/>
                <w:szCs w:val="18"/>
                <w:highlight w:val="none"/>
                <w:lang w:eastAsia="zh-CN"/>
              </w:rPr>
              <w:t>视情况</w:t>
            </w:r>
            <w:r>
              <w:rPr>
                <w:rFonts w:hint="eastAsia" w:ascii="宋体" w:hAnsi="宋体" w:cs="宋体"/>
                <w:color w:val="auto"/>
                <w:kern w:val="0"/>
                <w:sz w:val="18"/>
                <w:szCs w:val="18"/>
                <w:highlight w:val="none"/>
              </w:rPr>
              <w:t>扣</w:t>
            </w:r>
            <w:r>
              <w:rPr>
                <w:rFonts w:hint="eastAsia" w:ascii="宋体" w:hAnsi="宋体" w:cs="宋体"/>
                <w:color w:val="auto"/>
                <w:kern w:val="0"/>
                <w:sz w:val="18"/>
                <w:szCs w:val="18"/>
                <w:highlight w:val="none"/>
                <w:lang w:val="en-US" w:eastAsia="zh-CN"/>
              </w:rPr>
              <w:t>0.5-2</w:t>
            </w:r>
            <w:r>
              <w:rPr>
                <w:rFonts w:hint="eastAsia" w:ascii="宋体" w:hAnsi="宋体" w:cs="宋体"/>
                <w:color w:val="auto"/>
                <w:kern w:val="0"/>
                <w:sz w:val="18"/>
                <w:szCs w:val="18"/>
                <w:highlight w:val="none"/>
              </w:rPr>
              <w:t>分。</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学工处日常考核记录</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学工系统记录</w:t>
            </w:r>
          </w:p>
        </w:tc>
      </w:tr>
      <w:tr>
        <w:tblPrEx>
          <w:tblCellMar>
            <w:top w:w="0" w:type="dxa"/>
            <w:left w:w="108" w:type="dxa"/>
            <w:bottom w:w="0" w:type="dxa"/>
            <w:right w:w="108" w:type="dxa"/>
          </w:tblCellMar>
        </w:tblPrEx>
        <w:trPr>
          <w:trHeight w:val="2925" w:hRule="atLeast"/>
        </w:trPr>
        <w:tc>
          <w:tcPr>
            <w:tcW w:w="1029" w:type="dxa"/>
            <w:vMerge w:val="continue"/>
            <w:tcBorders>
              <w:left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87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工作研究</w:t>
            </w:r>
            <w:r>
              <w:rPr>
                <w:rFonts w:hint="eastAsia" w:ascii="宋体" w:hAnsi="宋体" w:cs="宋体"/>
                <w:color w:val="auto"/>
                <w:kern w:val="0"/>
                <w:sz w:val="18"/>
                <w:szCs w:val="18"/>
                <w:highlight w:val="none"/>
                <w:lang w:eastAsia="zh-CN"/>
              </w:rPr>
              <w:t>情况（</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分）</w:t>
            </w:r>
          </w:p>
        </w:tc>
        <w:tc>
          <w:tcPr>
            <w:tcW w:w="199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公开发表论文、承担课题情况</w:t>
            </w:r>
          </w:p>
        </w:tc>
        <w:tc>
          <w:tcPr>
            <w:tcW w:w="369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总分</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分。</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1分。</w:t>
            </w:r>
            <w:r>
              <w:rPr>
                <w:rFonts w:hint="eastAsia" w:ascii="宋体" w:hAnsi="宋体" w:cs="宋体"/>
                <w:color w:val="auto"/>
                <w:kern w:val="0"/>
                <w:sz w:val="18"/>
                <w:szCs w:val="18"/>
                <w:highlight w:val="none"/>
              </w:rPr>
              <w:t>公开发表学生教育管理工作相关研究论文</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根据《关于印发《福州职业技术学院科研奖励办法》的通知》（榕职院综〔2018〕78号）文件精神，发表在A类</w:t>
            </w:r>
            <w:r>
              <w:rPr>
                <w:rFonts w:hint="eastAsia" w:ascii="宋体" w:hAnsi="宋体" w:cs="宋体"/>
                <w:color w:val="auto"/>
                <w:kern w:val="0"/>
                <w:sz w:val="18"/>
                <w:szCs w:val="18"/>
                <w:highlight w:val="none"/>
                <w:lang w:val="en-US" w:eastAsia="zh-CN"/>
              </w:rPr>
              <w:t xml:space="preserve"> 1</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val="en-US" w:eastAsia="zh-CN"/>
              </w:rPr>
              <w:t>/篇</w:t>
            </w:r>
            <w:r>
              <w:rPr>
                <w:rFonts w:hint="eastAsia" w:ascii="宋体" w:hAnsi="宋体" w:cs="宋体"/>
                <w:color w:val="auto"/>
                <w:kern w:val="0"/>
                <w:sz w:val="18"/>
                <w:szCs w:val="18"/>
                <w:highlight w:val="none"/>
              </w:rPr>
              <w:t>，B类0.</w:t>
            </w:r>
            <w:r>
              <w:rPr>
                <w:rFonts w:hint="eastAsia" w:ascii="宋体" w:hAnsi="宋体" w:cs="宋体"/>
                <w:color w:val="auto"/>
                <w:kern w:val="0"/>
                <w:sz w:val="18"/>
                <w:szCs w:val="18"/>
                <w:highlight w:val="none"/>
                <w:lang w:val="en-US" w:eastAsia="zh-CN"/>
              </w:rPr>
              <w:t>8</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val="en-US" w:eastAsia="zh-CN"/>
              </w:rPr>
              <w:t>/篇</w:t>
            </w:r>
            <w:r>
              <w:rPr>
                <w:rFonts w:hint="eastAsia" w:ascii="宋体" w:hAnsi="宋体" w:cs="宋体"/>
                <w:color w:val="auto"/>
                <w:kern w:val="0"/>
                <w:sz w:val="18"/>
                <w:szCs w:val="18"/>
                <w:highlight w:val="none"/>
              </w:rPr>
              <w:t>，C类0.</w:t>
            </w:r>
            <w:r>
              <w:rPr>
                <w:rFonts w:hint="eastAsia" w:ascii="宋体" w:hAnsi="宋体" w:cs="宋体"/>
                <w:color w:val="auto"/>
                <w:kern w:val="0"/>
                <w:sz w:val="18"/>
                <w:szCs w:val="18"/>
                <w:highlight w:val="none"/>
                <w:lang w:val="en-US" w:eastAsia="zh-CN"/>
              </w:rPr>
              <w:t>5</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val="en-US" w:eastAsia="zh-CN"/>
              </w:rPr>
              <w:t>/篇</w:t>
            </w:r>
            <w:r>
              <w:rPr>
                <w:rFonts w:hint="eastAsia" w:ascii="宋体" w:hAnsi="宋体" w:cs="宋体"/>
                <w:color w:val="auto"/>
                <w:kern w:val="0"/>
                <w:sz w:val="18"/>
                <w:szCs w:val="18"/>
                <w:highlight w:val="none"/>
              </w:rPr>
              <w:t>，D类0.</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val="en-US" w:eastAsia="zh-CN"/>
              </w:rPr>
              <w:t>/篇</w:t>
            </w:r>
            <w:r>
              <w:rPr>
                <w:rFonts w:hint="eastAsia" w:ascii="宋体" w:hAnsi="宋体" w:cs="宋体"/>
                <w:color w:val="auto"/>
                <w:kern w:val="0"/>
                <w:sz w:val="18"/>
                <w:szCs w:val="18"/>
                <w:highlight w:val="none"/>
              </w:rPr>
              <w:t>，E类0.</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val="en-US" w:eastAsia="zh-CN"/>
              </w:rPr>
              <w:t>/篇</w:t>
            </w:r>
            <w:r>
              <w:rPr>
                <w:rFonts w:hint="eastAsia" w:ascii="宋体" w:hAnsi="宋体" w:cs="宋体"/>
                <w:color w:val="auto"/>
                <w:kern w:val="0"/>
                <w:sz w:val="18"/>
                <w:szCs w:val="18"/>
                <w:highlight w:val="none"/>
              </w:rPr>
              <w:t>；</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hint="eastAsia" w:ascii="宋体" w:hAnsi="宋体" w:cs="宋体"/>
                <w:color w:val="auto"/>
                <w:kern w:val="0"/>
                <w:sz w:val="18"/>
                <w:szCs w:val="18"/>
                <w:highlight w:val="none"/>
                <w:lang w:val="en-US" w:eastAsia="zh-CN"/>
              </w:rPr>
              <w:t>.</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2分。</w:t>
            </w:r>
            <w:r>
              <w:rPr>
                <w:rFonts w:hint="eastAsia" w:ascii="宋体" w:hAnsi="宋体" w:cs="宋体"/>
                <w:color w:val="auto"/>
                <w:kern w:val="0"/>
                <w:sz w:val="18"/>
                <w:szCs w:val="18"/>
                <w:highlight w:val="none"/>
              </w:rPr>
              <w:t>承担学生教育管理工作、辅导员队伍建设等相关课题并结题，国家级每项加</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分，省级每项加</w:t>
            </w:r>
            <w:r>
              <w:rPr>
                <w:rFonts w:hint="eastAsia" w:ascii="宋体" w:hAnsi="宋体" w:cs="宋体"/>
                <w:color w:val="auto"/>
                <w:kern w:val="0"/>
                <w:sz w:val="18"/>
                <w:szCs w:val="18"/>
                <w:highlight w:val="none"/>
                <w:lang w:val="en-US" w:eastAsia="zh-CN"/>
              </w:rPr>
              <w:t>1.5</w:t>
            </w:r>
            <w:r>
              <w:rPr>
                <w:rFonts w:hint="eastAsia" w:ascii="宋体" w:hAnsi="宋体" w:cs="宋体"/>
                <w:color w:val="auto"/>
                <w:kern w:val="0"/>
                <w:sz w:val="18"/>
                <w:szCs w:val="18"/>
                <w:highlight w:val="none"/>
              </w:rPr>
              <w:t>分，市级每项加</w:t>
            </w:r>
            <w:r>
              <w:rPr>
                <w:rFonts w:hint="eastAsia" w:ascii="宋体" w:hAnsi="宋体" w:cs="宋体"/>
                <w:color w:val="auto"/>
                <w:kern w:val="0"/>
                <w:sz w:val="18"/>
                <w:szCs w:val="18"/>
                <w:highlight w:val="none"/>
                <w:lang w:val="en-US" w:eastAsia="zh-CN"/>
              </w:rPr>
              <w:t>1分</w:t>
            </w:r>
            <w:r>
              <w:rPr>
                <w:rFonts w:hint="eastAsia" w:ascii="宋体" w:hAnsi="宋体" w:cs="宋体"/>
                <w:color w:val="auto"/>
                <w:kern w:val="0"/>
                <w:sz w:val="18"/>
                <w:szCs w:val="18"/>
                <w:highlight w:val="none"/>
              </w:rPr>
              <w:t>，校级每项加0.</w:t>
            </w:r>
            <w:r>
              <w:rPr>
                <w:rFonts w:hint="eastAsia" w:ascii="宋体" w:hAnsi="宋体" w:cs="宋体"/>
                <w:color w:val="auto"/>
                <w:kern w:val="0"/>
                <w:sz w:val="18"/>
                <w:szCs w:val="18"/>
                <w:highlight w:val="none"/>
                <w:lang w:val="en-US" w:eastAsia="zh-CN"/>
              </w:rPr>
              <w:t>5</w:t>
            </w:r>
            <w:r>
              <w:rPr>
                <w:rFonts w:hint="eastAsia" w:ascii="宋体" w:hAnsi="宋体" w:cs="宋体"/>
                <w:color w:val="auto"/>
                <w:kern w:val="0"/>
                <w:sz w:val="18"/>
                <w:szCs w:val="18"/>
                <w:highlight w:val="none"/>
              </w:rPr>
              <w:t>分。</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1.论文</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2.课题（已结项）</w:t>
            </w:r>
          </w:p>
        </w:tc>
      </w:tr>
      <w:tr>
        <w:tblPrEx>
          <w:tblCellMar>
            <w:top w:w="0" w:type="dxa"/>
            <w:left w:w="108" w:type="dxa"/>
            <w:bottom w:w="0" w:type="dxa"/>
            <w:right w:w="108" w:type="dxa"/>
          </w:tblCellMar>
        </w:tblPrEx>
        <w:trPr>
          <w:trHeight w:val="2925" w:hRule="atLeast"/>
        </w:trPr>
        <w:tc>
          <w:tcPr>
            <w:tcW w:w="1029" w:type="dxa"/>
            <w:vMerge w:val="continue"/>
            <w:tcBorders>
              <w:left w:val="single" w:color="000000" w:sz="4" w:space="0"/>
              <w:bottom w:val="single" w:color="auto"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87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工作创新情况</w:t>
            </w:r>
            <w:r>
              <w:rPr>
                <w:rFonts w:hint="eastAsia" w:ascii="宋体" w:hAnsi="宋体" w:cs="宋体"/>
                <w:color w:val="auto"/>
                <w:kern w:val="0"/>
                <w:sz w:val="18"/>
                <w:szCs w:val="18"/>
                <w:highlight w:val="none"/>
                <w:lang w:val="en-US" w:eastAsia="zh-CN"/>
              </w:rPr>
              <w:t>（5分）</w:t>
            </w:r>
          </w:p>
        </w:tc>
        <w:tc>
          <w:tcPr>
            <w:tcW w:w="199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工作创新</w:t>
            </w:r>
          </w:p>
        </w:tc>
        <w:tc>
          <w:tcPr>
            <w:tcW w:w="3698" w:type="dxa"/>
            <w:tcBorders>
              <w:top w:val="single" w:color="000000" w:sz="4" w:space="0"/>
              <w:left w:val="single" w:color="000000" w:sz="4" w:space="0"/>
              <w:bottom w:val="single" w:color="auto" w:sz="4" w:space="0"/>
              <w:right w:val="single" w:color="000000" w:sz="4" w:space="0"/>
            </w:tcBorders>
            <w:shd w:val="clear" w:color="auto" w:fill="FFFFFF"/>
            <w:noWrap w:val="0"/>
            <w:vAlign w:val="top"/>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总分</w:t>
            </w:r>
            <w:r>
              <w:rPr>
                <w:rFonts w:hint="eastAsia" w:ascii="宋体" w:hAnsi="宋体" w:cs="宋体"/>
                <w:color w:val="auto"/>
                <w:kern w:val="0"/>
                <w:sz w:val="18"/>
                <w:szCs w:val="18"/>
                <w:highlight w:val="none"/>
                <w:lang w:val="en-US" w:eastAsia="zh-CN"/>
              </w:rPr>
              <w:t>5</w:t>
            </w:r>
            <w:r>
              <w:rPr>
                <w:rFonts w:hint="eastAsia" w:ascii="宋体" w:hAnsi="宋体" w:cs="宋体"/>
                <w:color w:val="auto"/>
                <w:kern w:val="0"/>
                <w:sz w:val="18"/>
                <w:szCs w:val="18"/>
                <w:highlight w:val="none"/>
              </w:rPr>
              <w:t>分。</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，学生教育管理工作获奖</w:t>
            </w:r>
            <w:r>
              <w:rPr>
                <w:rFonts w:hint="eastAsia" w:ascii="宋体" w:hAnsi="宋体" w:cs="宋体"/>
                <w:color w:val="auto"/>
                <w:kern w:val="0"/>
                <w:sz w:val="18"/>
                <w:szCs w:val="18"/>
                <w:highlight w:val="none"/>
              </w:rPr>
              <w:t>，国家级一、二、三等奖、优秀奖的分别获得</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.5、</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分；省级分别获</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、1、0.6、0.3分；市级分别获1、0.6、0.3、0.1分；校级分别获0.6、0.3、0.1分。</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学生日常教育管理工作被上级相关部门简报、媒体宣传报道的，国家级2分，省级1.</w:t>
            </w:r>
            <w:r>
              <w:rPr>
                <w:rFonts w:hint="eastAsia" w:ascii="宋体" w:hAnsi="宋体" w:cs="宋体"/>
                <w:color w:val="auto"/>
                <w:kern w:val="0"/>
                <w:sz w:val="18"/>
                <w:szCs w:val="18"/>
                <w:highlight w:val="none"/>
                <w:lang w:val="en-US" w:eastAsia="zh-CN"/>
              </w:rPr>
              <w:t>5</w:t>
            </w:r>
            <w:r>
              <w:rPr>
                <w:rFonts w:hint="eastAsia" w:ascii="宋体" w:hAnsi="宋体" w:cs="宋体"/>
                <w:color w:val="auto"/>
                <w:kern w:val="0"/>
                <w:sz w:val="18"/>
                <w:szCs w:val="18"/>
                <w:highlight w:val="none"/>
              </w:rPr>
              <w:t>分，市级1分。</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未列入上述项目的奖励或项目最终加分由学生日常教育管理工作考核领导小组审定。</w:t>
            </w:r>
          </w:p>
          <w:p>
            <w:pPr>
              <w:widowControl/>
              <w:jc w:val="left"/>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备注：同一项目仅按最高级别加分。</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1.获奖证书；</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2.媒体宣传报道情况</w:t>
            </w:r>
          </w:p>
          <w:p>
            <w:pPr>
              <w:widowControl/>
              <w:jc w:val="left"/>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3.工作案例</w:t>
            </w:r>
          </w:p>
        </w:tc>
      </w:tr>
      <w:tr>
        <w:tblPrEx>
          <w:tblCellMar>
            <w:top w:w="0" w:type="dxa"/>
            <w:left w:w="108" w:type="dxa"/>
            <w:bottom w:w="0" w:type="dxa"/>
            <w:right w:w="108" w:type="dxa"/>
          </w:tblCellMar>
        </w:tblPrEx>
        <w:trPr>
          <w:trHeight w:val="3150" w:hRule="atLeast"/>
        </w:trPr>
        <w:tc>
          <w:tcPr>
            <w:tcW w:w="1029" w:type="dxa"/>
            <w:vMerge w:val="restart"/>
            <w:tcBorders>
              <w:top w:val="single" w:color="auto" w:sz="4" w:space="0"/>
              <w:left w:val="single" w:color="auto" w:sz="4" w:space="0"/>
              <w:bottom w:val="single" w:color="000000" w:sz="4" w:space="0"/>
              <w:right w:val="single" w:color="000000"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学生思想政治教育、管理</w:t>
            </w:r>
            <w:r>
              <w:rPr>
                <w:rFonts w:hint="eastAsia" w:ascii="宋体" w:hAnsi="宋体" w:cs="宋体"/>
                <w:color w:val="auto"/>
                <w:kern w:val="0"/>
                <w:sz w:val="18"/>
                <w:szCs w:val="18"/>
                <w:highlight w:val="none"/>
                <w:lang w:val="en-US" w:eastAsia="zh-CN"/>
              </w:rPr>
              <w:t>65%</w:t>
            </w:r>
          </w:p>
        </w:tc>
        <w:tc>
          <w:tcPr>
            <w:tcW w:w="870" w:type="dxa"/>
            <w:vMerge w:val="restar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思政主题教育活动</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28</w:t>
            </w:r>
            <w:r>
              <w:rPr>
                <w:rFonts w:hint="eastAsia" w:ascii="宋体" w:hAnsi="宋体" w:cs="宋体"/>
                <w:color w:val="auto"/>
                <w:kern w:val="0"/>
                <w:sz w:val="18"/>
                <w:szCs w:val="18"/>
                <w:highlight w:val="none"/>
              </w:rPr>
              <w:t>分）</w:t>
            </w:r>
          </w:p>
        </w:tc>
        <w:tc>
          <w:tcPr>
            <w:tcW w:w="199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培育和践行社会主义核心价值观，开展理想信念和“中国梦”主题教育。利用重要节庆日、纪念日、重大事件开展国情、社情、马克思主义中国化新成果</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校史、校情教育。认真落实学校</w:t>
            </w:r>
            <w:r>
              <w:rPr>
                <w:rFonts w:hint="eastAsia" w:ascii="宋体" w:hAnsi="宋体" w:cs="宋体"/>
                <w:color w:val="auto"/>
                <w:kern w:val="0"/>
                <w:sz w:val="18"/>
                <w:szCs w:val="18"/>
                <w:highlight w:val="none"/>
                <w:lang w:val="en-US" w:eastAsia="zh-CN"/>
              </w:rPr>
              <w:t>双高校、优质校</w:t>
            </w:r>
            <w:r>
              <w:rPr>
                <w:rFonts w:hint="eastAsia" w:ascii="宋体" w:hAnsi="宋体" w:cs="宋体"/>
                <w:color w:val="auto"/>
                <w:kern w:val="0"/>
                <w:sz w:val="18"/>
                <w:szCs w:val="18"/>
                <w:highlight w:val="none"/>
              </w:rPr>
              <w:t>、文明校、党建思政提升工程</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平安校园</w:t>
            </w:r>
            <w:r>
              <w:rPr>
                <w:rFonts w:hint="eastAsia" w:ascii="宋体" w:hAnsi="宋体" w:cs="宋体"/>
                <w:color w:val="auto"/>
                <w:kern w:val="0"/>
                <w:sz w:val="18"/>
                <w:szCs w:val="18"/>
                <w:highlight w:val="none"/>
              </w:rPr>
              <w:t>等其他工作部署。</w:t>
            </w:r>
          </w:p>
        </w:tc>
        <w:tc>
          <w:tcPr>
            <w:tcW w:w="3698" w:type="dxa"/>
            <w:tcBorders>
              <w:top w:val="single" w:color="auto" w:sz="4" w:space="0"/>
              <w:left w:val="single" w:color="000000" w:sz="4" w:space="0"/>
              <w:bottom w:val="single" w:color="000000" w:sz="4" w:space="0"/>
              <w:right w:val="single" w:color="auto"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总分</w:t>
            </w:r>
            <w:r>
              <w:rPr>
                <w:rFonts w:hint="eastAsia" w:ascii="宋体" w:hAnsi="宋体" w:cs="宋体"/>
                <w:color w:val="auto"/>
                <w:kern w:val="0"/>
                <w:sz w:val="18"/>
                <w:szCs w:val="18"/>
                <w:highlight w:val="none"/>
                <w:lang w:val="en-US" w:eastAsia="zh-CN"/>
              </w:rPr>
              <w:t>10</w:t>
            </w:r>
            <w:r>
              <w:rPr>
                <w:rFonts w:hint="eastAsia" w:ascii="宋体" w:hAnsi="宋体" w:cs="宋体"/>
                <w:color w:val="auto"/>
                <w:kern w:val="0"/>
                <w:sz w:val="18"/>
                <w:szCs w:val="18"/>
                <w:highlight w:val="none"/>
              </w:rPr>
              <w:t>分。</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分，根据</w:t>
            </w:r>
            <w:r>
              <w:rPr>
                <w:rFonts w:hint="eastAsia" w:ascii="宋体" w:hAnsi="宋体" w:cs="宋体"/>
                <w:color w:val="auto"/>
                <w:kern w:val="0"/>
                <w:sz w:val="18"/>
                <w:szCs w:val="18"/>
                <w:highlight w:val="none"/>
                <w:lang w:val="en-US" w:eastAsia="zh-CN"/>
              </w:rPr>
              <w:t>主题教育</w:t>
            </w:r>
            <w:r>
              <w:rPr>
                <w:rFonts w:hint="eastAsia" w:ascii="宋体" w:hAnsi="宋体" w:cs="宋体"/>
                <w:color w:val="auto"/>
                <w:kern w:val="0"/>
                <w:sz w:val="18"/>
                <w:szCs w:val="18"/>
                <w:highlight w:val="none"/>
              </w:rPr>
              <w:t>纲要和相关通知完成全年大学生思政</w:t>
            </w:r>
            <w:r>
              <w:rPr>
                <w:rFonts w:hint="eastAsia" w:ascii="宋体" w:hAnsi="宋体" w:cs="宋体"/>
                <w:color w:val="auto"/>
                <w:kern w:val="0"/>
                <w:sz w:val="18"/>
                <w:szCs w:val="18"/>
                <w:highlight w:val="none"/>
                <w:lang w:val="en-US" w:eastAsia="zh-CN"/>
              </w:rPr>
              <w:t>主题</w:t>
            </w:r>
            <w:r>
              <w:rPr>
                <w:rFonts w:hint="eastAsia" w:ascii="宋体" w:hAnsi="宋体" w:cs="宋体"/>
                <w:color w:val="auto"/>
                <w:kern w:val="0"/>
                <w:sz w:val="18"/>
                <w:szCs w:val="18"/>
                <w:highlight w:val="none"/>
              </w:rPr>
              <w:t>教育工作，视完成情况及质量予以给分。</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2.</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分，承办校级主题教育活动每</w:t>
            </w:r>
            <w:r>
              <w:rPr>
                <w:rFonts w:hint="eastAsia" w:ascii="宋体" w:hAnsi="宋体" w:cs="宋体"/>
                <w:color w:val="auto"/>
                <w:kern w:val="0"/>
                <w:sz w:val="18"/>
                <w:szCs w:val="18"/>
                <w:highlight w:val="none"/>
                <w:lang w:eastAsia="zh-CN"/>
              </w:rPr>
              <w:t>场</w:t>
            </w:r>
            <w:r>
              <w:rPr>
                <w:rFonts w:hint="eastAsia" w:ascii="宋体" w:hAnsi="宋体" w:cs="宋体"/>
                <w:color w:val="auto"/>
                <w:kern w:val="0"/>
                <w:sz w:val="18"/>
                <w:szCs w:val="18"/>
                <w:highlight w:val="none"/>
              </w:rPr>
              <w:t>得</w:t>
            </w:r>
            <w:r>
              <w:rPr>
                <w:rFonts w:hint="eastAsia" w:ascii="宋体" w:hAnsi="宋体" w:cs="宋体"/>
                <w:color w:val="auto"/>
                <w:kern w:val="0"/>
                <w:sz w:val="18"/>
                <w:szCs w:val="18"/>
                <w:highlight w:val="none"/>
                <w:lang w:val="en-US" w:eastAsia="zh-CN"/>
              </w:rPr>
              <w:t>0.5</w:t>
            </w:r>
            <w:r>
              <w:rPr>
                <w:rFonts w:hint="eastAsia" w:ascii="宋体" w:hAnsi="宋体" w:cs="宋体"/>
                <w:color w:val="auto"/>
                <w:kern w:val="0"/>
                <w:sz w:val="18"/>
                <w:szCs w:val="18"/>
                <w:highlight w:val="none"/>
              </w:rPr>
              <w:t>分。</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3.</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分，根据学校要求开展相应活动。</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学校专项评审材料规范供稿</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按规范及时提交上级</w:t>
            </w:r>
            <w:r>
              <w:rPr>
                <w:rFonts w:hint="eastAsia" w:ascii="宋体" w:hAnsi="宋体" w:cs="宋体"/>
                <w:color w:val="auto"/>
                <w:kern w:val="0"/>
                <w:sz w:val="18"/>
                <w:szCs w:val="18"/>
                <w:highlight w:val="none"/>
                <w:lang w:val="en-US" w:eastAsia="zh-CN"/>
              </w:rPr>
              <w:t>要求的</w:t>
            </w:r>
            <w:r>
              <w:rPr>
                <w:rFonts w:hint="eastAsia" w:ascii="宋体" w:hAnsi="宋体" w:cs="宋体"/>
                <w:color w:val="auto"/>
                <w:kern w:val="0"/>
                <w:sz w:val="18"/>
                <w:szCs w:val="18"/>
                <w:highlight w:val="none"/>
              </w:rPr>
              <w:t>评审材料，经审核被推荐给一级指标录用，每年总计不少于30条</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 xml:space="preserve">材料质量不高、数量不足酌情扣分。 </w:t>
            </w:r>
          </w:p>
        </w:tc>
        <w:tc>
          <w:tcPr>
            <w:tcW w:w="1695" w:type="dxa"/>
            <w:tcBorders>
              <w:top w:val="single" w:color="auto" w:sz="4" w:space="0"/>
              <w:left w:val="single" w:color="auto" w:sz="4" w:space="0"/>
              <w:bottom w:val="single" w:color="000000" w:sz="4" w:space="0"/>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通过动项目列表和新闻报道截图等佐证。</w:t>
            </w:r>
          </w:p>
        </w:tc>
      </w:tr>
      <w:tr>
        <w:tblPrEx>
          <w:tblCellMar>
            <w:top w:w="0" w:type="dxa"/>
            <w:left w:w="108" w:type="dxa"/>
            <w:bottom w:w="0" w:type="dxa"/>
            <w:right w:w="108" w:type="dxa"/>
          </w:tblCellMar>
        </w:tblPrEx>
        <w:trPr>
          <w:trHeight w:val="1653" w:hRule="atLeast"/>
        </w:trPr>
        <w:tc>
          <w:tcPr>
            <w:tcW w:w="1029" w:type="dxa"/>
            <w:vMerge w:val="continue"/>
            <w:tcBorders>
              <w:left w:val="single" w:color="auto" w:sz="4" w:space="0"/>
              <w:bottom w:val="single" w:color="auto" w:sz="4" w:space="0"/>
              <w:right w:val="single" w:color="000000"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870" w:type="dxa"/>
            <w:vMerge w:val="continue"/>
            <w:tcBorders>
              <w:left w:val="single" w:color="000000" w:sz="4" w:space="0"/>
              <w:bottom w:val="single" w:color="auto" w:sz="4" w:space="0"/>
              <w:right w:val="single" w:color="000000"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993"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落实</w:t>
            </w:r>
            <w:r>
              <w:rPr>
                <w:rFonts w:hint="eastAsia" w:ascii="宋体" w:hAnsi="宋体" w:cs="宋体"/>
                <w:color w:val="auto"/>
                <w:kern w:val="0"/>
                <w:sz w:val="18"/>
                <w:szCs w:val="18"/>
                <w:highlight w:val="none"/>
                <w:lang w:eastAsia="zh-CN"/>
              </w:rPr>
              <w:t>“一站式”学生社区综合管理模式</w:t>
            </w:r>
            <w:r>
              <w:rPr>
                <w:rFonts w:hint="eastAsia" w:ascii="宋体" w:hAnsi="宋体" w:cs="宋体"/>
                <w:color w:val="auto"/>
                <w:kern w:val="0"/>
                <w:sz w:val="18"/>
                <w:szCs w:val="18"/>
                <w:highlight w:val="none"/>
                <w:lang w:val="en-US" w:eastAsia="zh-CN"/>
              </w:rPr>
              <w:t>改革工作。</w:t>
            </w:r>
          </w:p>
        </w:tc>
        <w:tc>
          <w:tcPr>
            <w:tcW w:w="3698"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widowControl/>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总分</w:t>
            </w:r>
            <w:r>
              <w:rPr>
                <w:rFonts w:hint="eastAsia" w:ascii="宋体" w:hAnsi="宋体" w:cs="宋体"/>
                <w:color w:val="auto"/>
                <w:kern w:val="0"/>
                <w:sz w:val="18"/>
                <w:szCs w:val="18"/>
                <w:highlight w:val="none"/>
                <w:lang w:val="en-US" w:eastAsia="zh-CN"/>
              </w:rPr>
              <w:t>6分。</w:t>
            </w:r>
          </w:p>
          <w:p>
            <w:pPr>
              <w:widowControl/>
              <w:numPr>
                <w:ilvl w:val="0"/>
                <w:numId w:val="1"/>
              </w:numPr>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val="en-US" w:eastAsia="zh-CN"/>
              </w:rPr>
              <w:t>制定二级学院</w:t>
            </w:r>
            <w:r>
              <w:rPr>
                <w:rFonts w:hint="eastAsia" w:ascii="宋体" w:hAnsi="宋体" w:cs="宋体"/>
                <w:color w:val="auto"/>
                <w:kern w:val="0"/>
                <w:sz w:val="18"/>
                <w:szCs w:val="18"/>
                <w:highlight w:val="none"/>
                <w:lang w:eastAsia="zh-CN"/>
              </w:rPr>
              <w:t>“一站式”学生社区综合管理模式建设方案，并根据方案开展工作。</w:t>
            </w:r>
          </w:p>
          <w:p>
            <w:pPr>
              <w:widowControl/>
              <w:numPr>
                <w:ilvl w:val="0"/>
                <w:numId w:val="1"/>
              </w:numPr>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val="en-US" w:eastAsia="zh-CN"/>
              </w:rPr>
              <w:t>学年内开展学生社区活动至少四场。</w:t>
            </w:r>
          </w:p>
          <w:p>
            <w:pPr>
              <w:widowControl/>
              <w:numPr>
                <w:ilvl w:val="0"/>
                <w:numId w:val="1"/>
              </w:numPr>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领导干部、</w:t>
            </w:r>
            <w:r>
              <w:rPr>
                <w:rFonts w:hint="eastAsia" w:ascii="宋体" w:hAnsi="宋体" w:cs="宋体"/>
                <w:color w:val="auto"/>
                <w:kern w:val="0"/>
                <w:sz w:val="18"/>
                <w:szCs w:val="18"/>
                <w:highlight w:val="none"/>
                <w:lang w:val="en-US" w:eastAsia="zh-CN"/>
              </w:rPr>
              <w:t>思政队伍、教师队伍、校外资源下沉学生社区。</w:t>
            </w:r>
          </w:p>
          <w:p>
            <w:pPr>
              <w:widowControl/>
              <w:numPr>
                <w:ilvl w:val="0"/>
                <w:numId w:val="1"/>
              </w:numPr>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val="en-US" w:eastAsia="zh-CN"/>
              </w:rPr>
              <w:t>进行学生社区物理空间建设和氛围布置（特殊教育学院与牵头系部共建社区）。</w:t>
            </w:r>
          </w:p>
          <w:p>
            <w:pPr>
              <w:widowControl/>
              <w:numPr>
                <w:ilvl w:val="0"/>
                <w:numId w:val="1"/>
              </w:numPr>
              <w:ind w:left="0" w:leftChars="0" w:firstLine="0" w:firstLineChars="0"/>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本项共2</w:t>
            </w:r>
            <w:r>
              <w:rPr>
                <w:rFonts w:hint="default" w:ascii="宋体" w:hAnsi="宋体" w:cs="宋体"/>
                <w:color w:val="auto"/>
                <w:kern w:val="0"/>
                <w:sz w:val="18"/>
                <w:szCs w:val="18"/>
                <w:highlight w:val="none"/>
                <w:lang w:val="en-US" w:eastAsia="zh-CN"/>
              </w:rPr>
              <w:t>分，建设工作成效明显或获得校级及以上表彰的。</w:t>
            </w:r>
          </w:p>
        </w:tc>
        <w:tc>
          <w:tcPr>
            <w:tcW w:w="1695" w:type="dxa"/>
            <w:tcBorders>
              <w:top w:val="single" w:color="auto" w:sz="4" w:space="0"/>
              <w:left w:val="single" w:color="auto" w:sz="4" w:space="0"/>
              <w:bottom w:val="single" w:color="000000" w:sz="4" w:space="0"/>
              <w:righ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根据提交蔡材料及现场考核情况</w:t>
            </w:r>
          </w:p>
        </w:tc>
      </w:tr>
      <w:tr>
        <w:tblPrEx>
          <w:tblCellMar>
            <w:top w:w="0" w:type="dxa"/>
            <w:left w:w="108" w:type="dxa"/>
            <w:bottom w:w="0" w:type="dxa"/>
            <w:right w:w="108" w:type="dxa"/>
          </w:tblCellMar>
        </w:tblPrEx>
        <w:trPr>
          <w:trHeight w:val="778" w:hRule="atLeast"/>
        </w:trPr>
        <w:tc>
          <w:tcPr>
            <w:tcW w:w="1029" w:type="dxa"/>
            <w:vMerge w:val="continue"/>
            <w:tcBorders>
              <w:top w:val="single" w:color="auto" w:sz="4" w:space="0"/>
              <w:left w:val="single" w:color="auto" w:sz="4" w:space="0"/>
              <w:right w:val="single" w:color="000000"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870" w:type="dxa"/>
            <w:vMerge w:val="continue"/>
            <w:tcBorders>
              <w:top w:val="single" w:color="auto" w:sz="4" w:space="0"/>
              <w:left w:val="single" w:color="000000" w:sz="4" w:space="0"/>
              <w:right w:val="single" w:color="000000"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99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急救教育建设工作情况</w:t>
            </w:r>
          </w:p>
        </w:tc>
        <w:tc>
          <w:tcPr>
            <w:tcW w:w="3698" w:type="dxa"/>
            <w:tcBorders>
              <w:top w:val="single" w:color="auto" w:sz="4" w:space="0"/>
              <w:left w:val="single" w:color="000000" w:sz="4" w:space="0"/>
              <w:bottom w:val="single" w:color="000000" w:sz="4" w:space="0"/>
              <w:right w:val="single" w:color="auto" w:sz="4" w:space="0"/>
            </w:tcBorders>
            <w:shd w:val="clear" w:color="auto" w:fill="FFFFFF"/>
            <w:noWrap w:val="0"/>
            <w:vAlign w:val="center"/>
          </w:tcPr>
          <w:p>
            <w:pPr>
              <w:widowControl/>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总分</w:t>
            </w:r>
            <w:r>
              <w:rPr>
                <w:rFonts w:hint="eastAsia" w:ascii="宋体" w:hAnsi="宋体" w:cs="宋体"/>
                <w:color w:val="auto"/>
                <w:kern w:val="0"/>
                <w:sz w:val="18"/>
                <w:szCs w:val="18"/>
                <w:highlight w:val="none"/>
                <w:lang w:val="en-US" w:eastAsia="zh-CN"/>
              </w:rPr>
              <w:t>2分。</w:t>
            </w:r>
          </w:p>
          <w:p>
            <w:pPr>
              <w:widowControl/>
              <w:numPr>
                <w:ilvl w:val="0"/>
                <w:numId w:val="0"/>
              </w:numPr>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val="en-US" w:eastAsia="zh-CN"/>
              </w:rPr>
              <w:t>学生应急救护员100%覆盖全部宿舍，取证率不低于学生总数的10%，报名未取证学生不高于报名总数的5%。</w:t>
            </w:r>
          </w:p>
          <w:p>
            <w:pPr>
              <w:widowControl/>
              <w:numPr>
                <w:ilvl w:val="0"/>
                <w:numId w:val="0"/>
              </w:numPr>
              <w:ind w:left="0" w:leftChars="0" w:firstLine="0" w:firstLineChars="0"/>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val="en-US" w:eastAsia="zh-CN"/>
              </w:rPr>
              <w:t>常态化开展急救教育活动学年不少于2场，组建学生社区应急救护员队伍。（特殊教育学院只需完成此项，本项共以2分计）</w:t>
            </w:r>
          </w:p>
        </w:tc>
        <w:tc>
          <w:tcPr>
            <w:tcW w:w="1695" w:type="dxa"/>
            <w:tcBorders>
              <w:top w:val="single" w:color="auto" w:sz="4" w:space="0"/>
              <w:left w:val="single" w:color="auto" w:sz="4" w:space="0"/>
              <w:bottom w:val="single" w:color="000000" w:sz="4" w:space="0"/>
              <w:righ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考证率及相关材料</w:t>
            </w:r>
          </w:p>
        </w:tc>
      </w:tr>
      <w:tr>
        <w:tblPrEx>
          <w:tblCellMar>
            <w:top w:w="0" w:type="dxa"/>
            <w:left w:w="108" w:type="dxa"/>
            <w:bottom w:w="0" w:type="dxa"/>
            <w:right w:w="108" w:type="dxa"/>
          </w:tblCellMar>
        </w:tblPrEx>
        <w:trPr>
          <w:trHeight w:val="1575" w:hRule="atLeast"/>
        </w:trPr>
        <w:tc>
          <w:tcPr>
            <w:tcW w:w="1029" w:type="dxa"/>
            <w:vMerge w:val="continue"/>
            <w:tcBorders>
              <w:top w:val="single" w:color="000000" w:sz="4" w:space="0"/>
              <w:left w:val="single" w:color="auto" w:sz="4" w:space="0"/>
              <w:bottom w:val="single" w:color="auto"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870"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199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维护学生政治稳定，防止境内外敌对势力渗透。掌握学生信教情况，防止宗教、邪教渗透。</w:t>
            </w:r>
          </w:p>
        </w:tc>
        <w:tc>
          <w:tcPr>
            <w:tcW w:w="3698" w:type="dxa"/>
            <w:tcBorders>
              <w:top w:val="single" w:color="000000" w:sz="4" w:space="0"/>
              <w:left w:val="single" w:color="000000" w:sz="4" w:space="0"/>
              <w:bottom w:val="single" w:color="auto" w:sz="4" w:space="0"/>
              <w:right w:val="single" w:color="auto"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总分5分。</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分，开展</w:t>
            </w:r>
            <w:r>
              <w:rPr>
                <w:rFonts w:hint="eastAsia" w:ascii="宋体" w:hAnsi="宋体" w:cs="宋体"/>
                <w:color w:val="auto"/>
                <w:kern w:val="0"/>
                <w:sz w:val="18"/>
                <w:szCs w:val="18"/>
                <w:highlight w:val="none"/>
                <w:lang w:val="en-US" w:eastAsia="zh-CN"/>
              </w:rPr>
              <w:t>一场</w:t>
            </w:r>
            <w:r>
              <w:rPr>
                <w:rFonts w:hint="eastAsia" w:ascii="宋体" w:hAnsi="宋体" w:cs="宋体"/>
                <w:color w:val="auto"/>
                <w:kern w:val="0"/>
                <w:sz w:val="18"/>
                <w:szCs w:val="18"/>
                <w:highlight w:val="none"/>
                <w:lang w:eastAsia="zh-CN"/>
              </w:rPr>
              <w:t>意识形态</w:t>
            </w:r>
            <w:r>
              <w:rPr>
                <w:rFonts w:hint="eastAsia" w:ascii="宋体" w:hAnsi="宋体" w:cs="宋体"/>
                <w:color w:val="auto"/>
                <w:kern w:val="0"/>
                <w:sz w:val="18"/>
                <w:szCs w:val="18"/>
                <w:highlight w:val="none"/>
              </w:rPr>
              <w:t>教育活动</w:t>
            </w:r>
            <w:r>
              <w:rPr>
                <w:rFonts w:hint="eastAsia" w:ascii="宋体" w:hAnsi="宋体" w:cs="宋体"/>
                <w:color w:val="auto"/>
                <w:kern w:val="0"/>
                <w:sz w:val="18"/>
                <w:szCs w:val="18"/>
                <w:highlight w:val="none"/>
                <w:lang w:val="en-US" w:eastAsia="zh-CN"/>
              </w:rPr>
              <w:t>得1分</w:t>
            </w:r>
            <w:r>
              <w:rPr>
                <w:rFonts w:hint="eastAsia" w:ascii="宋体" w:hAnsi="宋体" w:cs="宋体"/>
                <w:color w:val="auto"/>
                <w:kern w:val="0"/>
                <w:sz w:val="18"/>
                <w:szCs w:val="18"/>
                <w:highlight w:val="none"/>
              </w:rPr>
              <w:t>；</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2.</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开展学生宗教观教育和信教学生教育。</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分，学年开展学生信教情况摸排</w:t>
            </w:r>
            <w:r>
              <w:rPr>
                <w:rFonts w:hint="eastAsia" w:ascii="宋体" w:hAnsi="宋体" w:cs="宋体"/>
                <w:color w:val="auto"/>
                <w:kern w:val="0"/>
                <w:sz w:val="18"/>
                <w:szCs w:val="18"/>
                <w:highlight w:val="none"/>
                <w:lang w:eastAsia="zh-CN"/>
              </w:rPr>
              <w:t>至少</w:t>
            </w:r>
            <w:r>
              <w:rPr>
                <w:rFonts w:hint="eastAsia" w:ascii="宋体" w:hAnsi="宋体" w:cs="宋体"/>
                <w:color w:val="auto"/>
                <w:kern w:val="0"/>
                <w:sz w:val="18"/>
                <w:szCs w:val="18"/>
                <w:highlight w:val="none"/>
                <w:lang w:val="en-US" w:eastAsia="zh-CN"/>
              </w:rPr>
              <w:t>2次</w:t>
            </w:r>
            <w:r>
              <w:rPr>
                <w:rFonts w:hint="eastAsia" w:ascii="宋体" w:hAnsi="宋体" w:cs="宋体"/>
                <w:color w:val="auto"/>
                <w:kern w:val="0"/>
                <w:sz w:val="18"/>
                <w:szCs w:val="18"/>
                <w:highlight w:val="none"/>
              </w:rPr>
              <w:t>；</w:t>
            </w:r>
          </w:p>
        </w:tc>
        <w:tc>
          <w:tcPr>
            <w:tcW w:w="169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活动项目列表和新闻报道截图等佐证，未发生案件的说明或已发案件报告。</w:t>
            </w:r>
          </w:p>
        </w:tc>
      </w:tr>
      <w:tr>
        <w:tblPrEx>
          <w:tblCellMar>
            <w:top w:w="0" w:type="dxa"/>
            <w:left w:w="108" w:type="dxa"/>
            <w:bottom w:w="0" w:type="dxa"/>
            <w:right w:w="108" w:type="dxa"/>
          </w:tblCellMar>
        </w:tblPrEx>
        <w:trPr>
          <w:trHeight w:val="350" w:hRule="atLeast"/>
        </w:trPr>
        <w:tc>
          <w:tcPr>
            <w:tcW w:w="102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870"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1993"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网络思政教育</w:t>
            </w:r>
          </w:p>
        </w:tc>
        <w:tc>
          <w:tcPr>
            <w:tcW w:w="369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总分</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w:t>
            </w:r>
          </w:p>
          <w:p>
            <w:pPr>
              <w:widowControl/>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0.5</w:t>
            </w:r>
            <w:r>
              <w:rPr>
                <w:rFonts w:hint="eastAsia" w:ascii="宋体" w:hAnsi="宋体" w:cs="宋体"/>
                <w:color w:val="auto"/>
                <w:kern w:val="0"/>
                <w:sz w:val="18"/>
                <w:szCs w:val="18"/>
                <w:highlight w:val="none"/>
              </w:rPr>
              <w:t>分。学生易班认证率不低于98%</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得0.5分；</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0.5</w:t>
            </w:r>
            <w:r>
              <w:rPr>
                <w:rFonts w:hint="eastAsia" w:ascii="宋体" w:hAnsi="宋体" w:cs="宋体"/>
                <w:color w:val="auto"/>
                <w:kern w:val="0"/>
                <w:sz w:val="18"/>
                <w:szCs w:val="18"/>
                <w:highlight w:val="none"/>
              </w:rPr>
              <w:t>分。结合时事</w:t>
            </w:r>
            <w:r>
              <w:rPr>
                <w:rFonts w:hint="eastAsia" w:ascii="宋体" w:hAnsi="宋体" w:cs="宋体"/>
                <w:color w:val="auto"/>
                <w:kern w:val="0"/>
                <w:sz w:val="18"/>
                <w:szCs w:val="18"/>
                <w:highlight w:val="none"/>
                <w:lang w:eastAsia="zh-CN"/>
              </w:rPr>
              <w:t>热点</w:t>
            </w:r>
            <w:r>
              <w:rPr>
                <w:rFonts w:hint="eastAsia" w:ascii="宋体" w:hAnsi="宋体" w:cs="宋体"/>
                <w:color w:val="auto"/>
                <w:kern w:val="0"/>
                <w:sz w:val="18"/>
                <w:szCs w:val="18"/>
                <w:highlight w:val="none"/>
              </w:rPr>
              <w:t>每年发布不同活动的网文不少于30条、有效轻应用不少于10个</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得0.5分</w:t>
            </w:r>
            <w:r>
              <w:rPr>
                <w:rFonts w:hint="eastAsia" w:ascii="宋体" w:hAnsi="宋体" w:cs="宋体"/>
                <w:color w:val="auto"/>
                <w:kern w:val="0"/>
                <w:sz w:val="18"/>
                <w:szCs w:val="18"/>
                <w:highlight w:val="none"/>
              </w:rPr>
              <w:t>。</w:t>
            </w:r>
          </w:p>
          <w:p>
            <w:pPr>
              <w:widowControl/>
              <w:jc w:val="lef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分。指导学生获得全国</w:t>
            </w:r>
            <w:r>
              <w:rPr>
                <w:rFonts w:hint="eastAsia" w:ascii="宋体" w:hAnsi="宋体" w:cs="宋体"/>
                <w:color w:val="auto"/>
                <w:kern w:val="0"/>
                <w:sz w:val="18"/>
                <w:szCs w:val="18"/>
                <w:highlight w:val="none"/>
                <w:lang w:eastAsia="zh-CN"/>
              </w:rPr>
              <w:t>、省、市级</w:t>
            </w:r>
            <w:r>
              <w:rPr>
                <w:rFonts w:hint="eastAsia" w:ascii="宋体" w:hAnsi="宋体" w:cs="宋体"/>
                <w:color w:val="auto"/>
                <w:kern w:val="0"/>
                <w:sz w:val="18"/>
                <w:szCs w:val="18"/>
                <w:highlight w:val="none"/>
              </w:rPr>
              <w:t>大学生网络文化节等奖项的</w:t>
            </w:r>
            <w:r>
              <w:rPr>
                <w:rFonts w:hint="eastAsia" w:ascii="宋体" w:hAnsi="宋体" w:cs="宋体"/>
                <w:color w:val="auto"/>
                <w:kern w:val="0"/>
                <w:sz w:val="18"/>
                <w:szCs w:val="18"/>
                <w:highlight w:val="none"/>
                <w:lang w:eastAsia="zh-CN"/>
              </w:rPr>
              <w:t>，分别</w:t>
            </w:r>
            <w:r>
              <w:rPr>
                <w:rFonts w:hint="eastAsia" w:ascii="宋体" w:hAnsi="宋体" w:cs="宋体"/>
                <w:color w:val="auto"/>
                <w:kern w:val="0"/>
                <w:sz w:val="18"/>
                <w:szCs w:val="18"/>
                <w:highlight w:val="none"/>
              </w:rPr>
              <w:t>得1</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0.5、0.25分/次。</w:t>
            </w:r>
          </w:p>
        </w:tc>
        <w:tc>
          <w:tcPr>
            <w:tcW w:w="1695" w:type="dxa"/>
            <w:tcBorders>
              <w:top w:val="single" w:color="000000" w:sz="4" w:space="0"/>
              <w:left w:val="single" w:color="000000"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活动项目列表、网页轻应用链接、新闻报道截图等佐证。</w:t>
            </w:r>
          </w:p>
        </w:tc>
      </w:tr>
      <w:tr>
        <w:tblPrEx>
          <w:tblCellMar>
            <w:top w:w="0" w:type="dxa"/>
            <w:left w:w="108" w:type="dxa"/>
            <w:bottom w:w="0" w:type="dxa"/>
            <w:right w:w="108" w:type="dxa"/>
          </w:tblCellMar>
        </w:tblPrEx>
        <w:trPr>
          <w:trHeight w:val="1575" w:hRule="atLeast"/>
        </w:trPr>
        <w:tc>
          <w:tcPr>
            <w:tcW w:w="1029" w:type="dxa"/>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870"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199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学生获奖</w:t>
            </w:r>
          </w:p>
        </w:tc>
        <w:tc>
          <w:tcPr>
            <w:tcW w:w="369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总分</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分。</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学生获“一‘马’当先”</w:t>
            </w:r>
            <w:r>
              <w:rPr>
                <w:rFonts w:hint="eastAsia" w:ascii="宋体" w:hAnsi="宋体" w:cs="宋体"/>
                <w:color w:val="auto"/>
                <w:kern w:val="0"/>
                <w:sz w:val="18"/>
                <w:szCs w:val="18"/>
                <w:highlight w:val="none"/>
                <w:lang w:eastAsia="zh-CN"/>
              </w:rPr>
              <w:t>、“学宪法、讲宪法”</w:t>
            </w:r>
            <w:r>
              <w:rPr>
                <w:rFonts w:hint="eastAsia" w:ascii="宋体" w:hAnsi="宋体" w:cs="宋体"/>
                <w:color w:val="auto"/>
                <w:kern w:val="0"/>
                <w:sz w:val="18"/>
                <w:szCs w:val="18"/>
                <w:highlight w:val="none"/>
              </w:rPr>
              <w:t>等省级</w:t>
            </w:r>
            <w:r>
              <w:rPr>
                <w:rFonts w:hint="eastAsia" w:ascii="宋体" w:hAnsi="宋体" w:cs="宋体"/>
                <w:color w:val="auto"/>
                <w:kern w:val="0"/>
                <w:sz w:val="18"/>
                <w:szCs w:val="18"/>
                <w:highlight w:val="none"/>
                <w:lang w:eastAsia="zh-CN"/>
              </w:rPr>
              <w:t>及</w:t>
            </w:r>
            <w:r>
              <w:rPr>
                <w:rFonts w:hint="eastAsia" w:ascii="宋体" w:hAnsi="宋体" w:cs="宋体"/>
                <w:color w:val="auto"/>
                <w:kern w:val="0"/>
                <w:sz w:val="18"/>
                <w:szCs w:val="18"/>
                <w:highlight w:val="none"/>
              </w:rPr>
              <w:t>以上思政方向</w:t>
            </w:r>
            <w:r>
              <w:rPr>
                <w:rFonts w:hint="eastAsia" w:ascii="宋体" w:hAnsi="宋体" w:cs="宋体"/>
                <w:color w:val="auto"/>
                <w:kern w:val="0"/>
                <w:sz w:val="18"/>
                <w:szCs w:val="18"/>
                <w:highlight w:val="none"/>
                <w:lang w:val="en-US" w:eastAsia="zh-CN"/>
              </w:rPr>
              <w:t>类比赛</w:t>
            </w:r>
            <w:r>
              <w:rPr>
                <w:rFonts w:hint="eastAsia" w:ascii="宋体" w:hAnsi="宋体" w:cs="宋体"/>
                <w:color w:val="auto"/>
                <w:kern w:val="0"/>
                <w:sz w:val="18"/>
                <w:szCs w:val="18"/>
                <w:highlight w:val="none"/>
              </w:rPr>
              <w:t>奖项得</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分，市级得</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分，校级得</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同类比赛</w:t>
            </w:r>
            <w:r>
              <w:rPr>
                <w:rFonts w:hint="eastAsia" w:ascii="宋体" w:hAnsi="宋体" w:cs="宋体"/>
                <w:color w:val="auto"/>
                <w:kern w:val="0"/>
                <w:sz w:val="18"/>
                <w:szCs w:val="18"/>
                <w:highlight w:val="none"/>
              </w:rPr>
              <w:t>得分以最高级别计，不累加。</w:t>
            </w:r>
          </w:p>
        </w:tc>
        <w:tc>
          <w:tcPr>
            <w:tcW w:w="169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获奖证书等佐证。</w:t>
            </w:r>
          </w:p>
        </w:tc>
      </w:tr>
      <w:tr>
        <w:tblPrEx>
          <w:tblCellMar>
            <w:top w:w="0" w:type="dxa"/>
            <w:left w:w="108" w:type="dxa"/>
            <w:bottom w:w="0" w:type="dxa"/>
            <w:right w:w="108" w:type="dxa"/>
          </w:tblCellMar>
        </w:tblPrEx>
        <w:trPr>
          <w:trHeight w:val="185" w:hRule="atLeast"/>
        </w:trPr>
        <w:tc>
          <w:tcPr>
            <w:tcW w:w="1029" w:type="dxa"/>
            <w:vMerge w:val="continue"/>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辅导员队伍建设</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7</w:t>
            </w:r>
            <w:r>
              <w:rPr>
                <w:rFonts w:hint="eastAsia" w:ascii="宋体" w:hAnsi="宋体" w:cs="宋体"/>
                <w:color w:val="auto"/>
                <w:kern w:val="0"/>
                <w:sz w:val="18"/>
                <w:szCs w:val="18"/>
                <w:highlight w:val="none"/>
              </w:rPr>
              <w:t>分）</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辅导员队伍建设有部署、有落实。</w:t>
            </w:r>
          </w:p>
          <w:p>
            <w:pPr>
              <w:widowControl/>
              <w:jc w:val="center"/>
              <w:rPr>
                <w:rFonts w:ascii="宋体" w:hAnsi="宋体" w:cs="宋体"/>
                <w:color w:val="auto"/>
                <w:kern w:val="0"/>
                <w:sz w:val="18"/>
                <w:szCs w:val="18"/>
                <w:highlight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总分</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1分。</w:t>
            </w:r>
            <w:r>
              <w:rPr>
                <w:rFonts w:hint="eastAsia" w:ascii="宋体" w:hAnsi="宋体" w:cs="宋体"/>
                <w:color w:val="auto"/>
                <w:kern w:val="0"/>
                <w:sz w:val="18"/>
                <w:szCs w:val="18"/>
                <w:highlight w:val="none"/>
              </w:rPr>
              <w:t>开展各项辅导员技能提升培训等工作，每场得</w:t>
            </w:r>
            <w:r>
              <w:rPr>
                <w:rFonts w:hint="eastAsia" w:ascii="宋体" w:hAnsi="宋体" w:cs="宋体"/>
                <w:color w:val="auto"/>
                <w:kern w:val="0"/>
                <w:sz w:val="18"/>
                <w:szCs w:val="18"/>
                <w:highlight w:val="none"/>
                <w:lang w:val="en-US" w:eastAsia="zh-CN"/>
              </w:rPr>
              <w:t>0.5</w:t>
            </w:r>
            <w:r>
              <w:rPr>
                <w:rFonts w:hint="eastAsia" w:ascii="宋体" w:hAnsi="宋体" w:cs="宋体"/>
                <w:color w:val="auto"/>
                <w:kern w:val="0"/>
                <w:sz w:val="18"/>
                <w:szCs w:val="18"/>
                <w:highlight w:val="none"/>
              </w:rPr>
              <w:t>分。</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1分。</w:t>
            </w:r>
            <w:r>
              <w:rPr>
                <w:rFonts w:hint="eastAsia" w:ascii="宋体" w:hAnsi="宋体" w:cs="宋体"/>
                <w:color w:val="auto"/>
                <w:kern w:val="0"/>
                <w:sz w:val="18"/>
                <w:szCs w:val="18"/>
                <w:highlight w:val="none"/>
              </w:rPr>
              <w:t>开展各项辅导员交流、调研等工作，每场得</w:t>
            </w:r>
            <w:r>
              <w:rPr>
                <w:rFonts w:hint="eastAsia" w:ascii="宋体" w:hAnsi="宋体" w:cs="宋体"/>
                <w:color w:val="auto"/>
                <w:kern w:val="0"/>
                <w:sz w:val="18"/>
                <w:szCs w:val="18"/>
                <w:highlight w:val="none"/>
                <w:lang w:val="en-US" w:eastAsia="zh-CN"/>
              </w:rPr>
              <w:t>0.5</w:t>
            </w:r>
            <w:r>
              <w:rPr>
                <w:rFonts w:hint="eastAsia" w:ascii="宋体" w:hAnsi="宋体" w:cs="宋体"/>
                <w:color w:val="auto"/>
                <w:kern w:val="0"/>
                <w:sz w:val="18"/>
                <w:szCs w:val="18"/>
                <w:highlight w:val="none"/>
              </w:rPr>
              <w:t>分。</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文件、新闻稿等佐证、过程性材料等。</w:t>
            </w:r>
          </w:p>
        </w:tc>
      </w:tr>
      <w:tr>
        <w:tblPrEx>
          <w:tblCellMar>
            <w:top w:w="0" w:type="dxa"/>
            <w:left w:w="108" w:type="dxa"/>
            <w:bottom w:w="0" w:type="dxa"/>
            <w:right w:w="108" w:type="dxa"/>
          </w:tblCellMar>
        </w:tblPrEx>
        <w:trPr>
          <w:trHeight w:val="1195" w:hRule="atLeast"/>
        </w:trPr>
        <w:tc>
          <w:tcPr>
            <w:tcW w:w="1029" w:type="dxa"/>
            <w:vMerge w:val="continue"/>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辅导员队伍建设成效</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总分</w:t>
            </w:r>
            <w:r>
              <w:rPr>
                <w:rFonts w:hint="eastAsia" w:ascii="宋体" w:hAnsi="宋体" w:cs="宋体"/>
                <w:color w:val="auto"/>
                <w:kern w:val="0"/>
                <w:sz w:val="18"/>
                <w:szCs w:val="18"/>
                <w:highlight w:val="none"/>
                <w:lang w:val="en-US" w:eastAsia="zh-CN"/>
              </w:rPr>
              <w:t>5</w:t>
            </w:r>
            <w:r>
              <w:rPr>
                <w:rFonts w:hint="eastAsia" w:ascii="宋体" w:hAnsi="宋体" w:cs="宋体"/>
                <w:color w:val="auto"/>
                <w:kern w:val="0"/>
                <w:sz w:val="18"/>
                <w:szCs w:val="18"/>
                <w:highlight w:val="none"/>
              </w:rPr>
              <w:t>分。</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1.本项共3分。</w:t>
            </w:r>
            <w:r>
              <w:rPr>
                <w:rFonts w:hint="eastAsia" w:ascii="宋体" w:hAnsi="宋体" w:cs="宋体"/>
                <w:color w:val="auto"/>
                <w:kern w:val="0"/>
                <w:sz w:val="18"/>
                <w:szCs w:val="18"/>
                <w:highlight w:val="none"/>
              </w:rPr>
              <w:t>辅导员</w:t>
            </w:r>
            <w:r>
              <w:rPr>
                <w:rFonts w:hint="eastAsia" w:ascii="宋体" w:hAnsi="宋体" w:cs="宋体"/>
                <w:color w:val="auto"/>
                <w:kern w:val="0"/>
                <w:sz w:val="18"/>
                <w:szCs w:val="18"/>
                <w:highlight w:val="none"/>
                <w:lang w:eastAsia="zh-CN"/>
              </w:rPr>
              <w:t>个人</w:t>
            </w:r>
            <w:r>
              <w:rPr>
                <w:rFonts w:hint="eastAsia" w:ascii="宋体" w:hAnsi="宋体" w:cs="宋体"/>
                <w:color w:val="auto"/>
                <w:kern w:val="0"/>
                <w:sz w:val="18"/>
                <w:szCs w:val="18"/>
                <w:highlight w:val="none"/>
              </w:rPr>
              <w:t>获国家</w:t>
            </w:r>
            <w:r>
              <w:rPr>
                <w:rFonts w:hint="eastAsia" w:ascii="宋体" w:hAnsi="宋体" w:cs="宋体"/>
                <w:color w:val="auto"/>
                <w:kern w:val="0"/>
                <w:sz w:val="18"/>
                <w:szCs w:val="18"/>
                <w:highlight w:val="none"/>
                <w:lang w:eastAsia="zh-CN"/>
              </w:rPr>
              <w:t>、省、市、校</w:t>
            </w:r>
            <w:r>
              <w:rPr>
                <w:rFonts w:hint="eastAsia" w:ascii="宋体" w:hAnsi="宋体" w:cs="宋体"/>
                <w:color w:val="auto"/>
                <w:kern w:val="0"/>
                <w:sz w:val="18"/>
                <w:szCs w:val="18"/>
                <w:highlight w:val="none"/>
              </w:rPr>
              <w:t>级</w:t>
            </w:r>
            <w:r>
              <w:rPr>
                <w:rFonts w:hint="eastAsia" w:ascii="宋体" w:hAnsi="宋体" w:cs="宋体"/>
                <w:color w:val="auto"/>
                <w:kern w:val="0"/>
                <w:sz w:val="18"/>
                <w:szCs w:val="18"/>
                <w:highlight w:val="none"/>
                <w:lang w:eastAsia="zh-CN"/>
              </w:rPr>
              <w:t>荣誉</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eastAsia="zh-CN"/>
              </w:rPr>
              <w:t>分别得</w:t>
            </w:r>
            <w:r>
              <w:rPr>
                <w:rFonts w:hint="eastAsia" w:ascii="宋体" w:hAnsi="宋体" w:cs="宋体"/>
                <w:color w:val="auto"/>
                <w:kern w:val="0"/>
                <w:sz w:val="18"/>
                <w:szCs w:val="18"/>
                <w:highlight w:val="none"/>
                <w:lang w:val="en-US" w:eastAsia="zh-CN"/>
              </w:rPr>
              <w:t>3、2、1、0.5分。</w:t>
            </w:r>
            <w:r>
              <w:rPr>
                <w:rFonts w:hint="eastAsia" w:ascii="宋体" w:hAnsi="宋体" w:cs="宋体"/>
                <w:color w:val="auto"/>
                <w:kern w:val="0"/>
                <w:sz w:val="18"/>
                <w:szCs w:val="18"/>
                <w:highlight w:val="none"/>
                <w:lang w:eastAsia="zh-CN"/>
              </w:rPr>
              <w:t>同类比赛</w:t>
            </w:r>
            <w:r>
              <w:rPr>
                <w:rFonts w:hint="eastAsia" w:ascii="宋体" w:hAnsi="宋体" w:cs="宋体"/>
                <w:color w:val="auto"/>
                <w:kern w:val="0"/>
                <w:sz w:val="18"/>
                <w:szCs w:val="18"/>
                <w:highlight w:val="none"/>
              </w:rPr>
              <w:t>得分以最高级别计，不累加。</w:t>
            </w:r>
          </w:p>
          <w:p>
            <w:pPr>
              <w:widowControl/>
              <w:jc w:val="lef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2.本项共2分。</w:t>
            </w:r>
            <w:r>
              <w:rPr>
                <w:rFonts w:hint="eastAsia" w:ascii="宋体" w:hAnsi="宋体" w:cs="宋体"/>
                <w:color w:val="auto"/>
                <w:kern w:val="0"/>
                <w:sz w:val="18"/>
                <w:szCs w:val="18"/>
                <w:highlight w:val="none"/>
                <w:lang w:eastAsia="zh-CN"/>
              </w:rPr>
              <w:t>获得</w:t>
            </w:r>
            <w:r>
              <w:rPr>
                <w:rFonts w:hint="eastAsia" w:ascii="宋体" w:hAnsi="宋体" w:cs="宋体"/>
                <w:color w:val="auto"/>
                <w:kern w:val="0"/>
                <w:sz w:val="18"/>
                <w:szCs w:val="18"/>
                <w:highlight w:val="none"/>
                <w:lang w:val="en-US" w:eastAsia="zh-CN"/>
              </w:rPr>
              <w:t>省、市、</w:t>
            </w:r>
            <w:r>
              <w:rPr>
                <w:rFonts w:hint="eastAsia" w:ascii="宋体" w:hAnsi="宋体" w:cs="宋体"/>
                <w:color w:val="auto"/>
                <w:kern w:val="0"/>
                <w:sz w:val="18"/>
                <w:szCs w:val="18"/>
                <w:highlight w:val="none"/>
                <w:lang w:eastAsia="zh-CN"/>
              </w:rPr>
              <w:t>校级辅导员工作室立项，</w:t>
            </w:r>
            <w:r>
              <w:rPr>
                <w:rFonts w:hint="eastAsia" w:ascii="宋体" w:hAnsi="宋体" w:cs="宋体"/>
                <w:color w:val="auto"/>
                <w:kern w:val="0"/>
                <w:sz w:val="18"/>
                <w:szCs w:val="18"/>
                <w:highlight w:val="none"/>
                <w:lang w:val="en-US" w:eastAsia="zh-CN"/>
              </w:rPr>
              <w:t>分别</w:t>
            </w:r>
            <w:r>
              <w:rPr>
                <w:rFonts w:hint="eastAsia" w:ascii="宋体" w:hAnsi="宋体" w:cs="宋体"/>
                <w:color w:val="auto"/>
                <w:kern w:val="0"/>
                <w:sz w:val="18"/>
                <w:szCs w:val="18"/>
                <w:highlight w:val="none"/>
                <w:lang w:eastAsia="zh-CN"/>
              </w:rPr>
              <w:t>得</w:t>
            </w:r>
            <w:r>
              <w:rPr>
                <w:rFonts w:hint="eastAsia" w:ascii="宋体" w:hAnsi="宋体" w:cs="宋体"/>
                <w:color w:val="auto"/>
                <w:kern w:val="0"/>
                <w:sz w:val="18"/>
                <w:szCs w:val="18"/>
                <w:highlight w:val="none"/>
                <w:lang w:val="en-US" w:eastAsia="zh-CN"/>
              </w:rPr>
              <w:t>2、1.5、1分。</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获奖证书等佐证。</w:t>
            </w:r>
          </w:p>
        </w:tc>
      </w:tr>
      <w:tr>
        <w:tblPrEx>
          <w:tblCellMar>
            <w:top w:w="0" w:type="dxa"/>
            <w:left w:w="108" w:type="dxa"/>
            <w:bottom w:w="0" w:type="dxa"/>
            <w:right w:w="108" w:type="dxa"/>
          </w:tblCellMar>
        </w:tblPrEx>
        <w:trPr>
          <w:trHeight w:val="1575" w:hRule="atLeast"/>
        </w:trPr>
        <w:tc>
          <w:tcPr>
            <w:tcW w:w="1029" w:type="dxa"/>
            <w:vMerge w:val="continue"/>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班主任队伍建设</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（3分）</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班主任育人成效</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总分3分。</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0.5</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二级学院制定班主任工作相关制度、规范。</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2.</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0.5</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二级学院部署、检查本单位班主任工作。</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，获得</w:t>
            </w:r>
            <w:r>
              <w:rPr>
                <w:rFonts w:hint="eastAsia" w:ascii="宋体" w:hAnsi="宋体" w:cs="宋体"/>
                <w:color w:val="auto"/>
                <w:kern w:val="0"/>
                <w:sz w:val="18"/>
                <w:szCs w:val="18"/>
                <w:highlight w:val="none"/>
                <w:lang w:val="en-US" w:eastAsia="zh-CN"/>
              </w:rPr>
              <w:t>省、市、</w:t>
            </w:r>
            <w:r>
              <w:rPr>
                <w:rFonts w:hint="eastAsia" w:ascii="宋体" w:hAnsi="宋体" w:cs="宋体"/>
                <w:color w:val="auto"/>
                <w:kern w:val="0"/>
                <w:sz w:val="18"/>
                <w:szCs w:val="18"/>
                <w:highlight w:val="none"/>
                <w:lang w:eastAsia="zh-CN"/>
              </w:rPr>
              <w:t>校级</w:t>
            </w:r>
            <w:r>
              <w:rPr>
                <w:rFonts w:hint="eastAsia" w:ascii="宋体" w:hAnsi="宋体" w:cs="宋体"/>
                <w:color w:val="auto"/>
                <w:kern w:val="0"/>
                <w:sz w:val="18"/>
                <w:szCs w:val="18"/>
                <w:highlight w:val="none"/>
                <w:lang w:val="en-US" w:eastAsia="zh-CN"/>
              </w:rPr>
              <w:t>班主任分</w:t>
            </w:r>
            <w:r>
              <w:rPr>
                <w:rFonts w:hint="eastAsia" w:ascii="宋体" w:hAnsi="宋体" w:cs="宋体"/>
                <w:color w:val="auto"/>
                <w:kern w:val="0"/>
                <w:sz w:val="18"/>
                <w:szCs w:val="18"/>
                <w:highlight w:val="none"/>
                <w:lang w:eastAsia="zh-CN"/>
              </w:rPr>
              <w:t>工作室立项，</w:t>
            </w:r>
            <w:r>
              <w:rPr>
                <w:rFonts w:hint="eastAsia" w:ascii="宋体" w:hAnsi="宋体" w:cs="宋体"/>
                <w:color w:val="auto"/>
                <w:kern w:val="0"/>
                <w:sz w:val="18"/>
                <w:szCs w:val="18"/>
                <w:highlight w:val="none"/>
                <w:lang w:val="en-US" w:eastAsia="zh-CN"/>
              </w:rPr>
              <w:t>分别</w:t>
            </w:r>
            <w:r>
              <w:rPr>
                <w:rFonts w:hint="eastAsia" w:ascii="宋体" w:hAnsi="宋体" w:cs="宋体"/>
                <w:color w:val="auto"/>
                <w:kern w:val="0"/>
                <w:sz w:val="18"/>
                <w:szCs w:val="18"/>
                <w:highlight w:val="none"/>
                <w:lang w:eastAsia="zh-CN"/>
              </w:rPr>
              <w:t>得</w:t>
            </w:r>
            <w:r>
              <w:rPr>
                <w:rFonts w:hint="eastAsia" w:ascii="宋体" w:hAnsi="宋体" w:cs="宋体"/>
                <w:color w:val="auto"/>
                <w:kern w:val="0"/>
                <w:sz w:val="18"/>
                <w:szCs w:val="18"/>
                <w:highlight w:val="none"/>
                <w:lang w:val="en-US" w:eastAsia="zh-CN"/>
              </w:rPr>
              <w:t>2、1、0.5分</w:t>
            </w:r>
            <w:r>
              <w:rPr>
                <w:rFonts w:hint="eastAsia" w:ascii="宋体" w:hAnsi="宋体" w:cs="宋体"/>
                <w:color w:val="auto"/>
                <w:kern w:val="0"/>
                <w:sz w:val="18"/>
                <w:szCs w:val="18"/>
                <w:highlight w:val="none"/>
              </w:rPr>
              <w:t>。</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文件、新闻稿等佐证、过程性材料等。</w:t>
            </w:r>
          </w:p>
        </w:tc>
      </w:tr>
      <w:tr>
        <w:tblPrEx>
          <w:tblCellMar>
            <w:top w:w="0" w:type="dxa"/>
            <w:left w:w="108" w:type="dxa"/>
            <w:bottom w:w="0" w:type="dxa"/>
            <w:right w:w="108" w:type="dxa"/>
          </w:tblCellMar>
        </w:tblPrEx>
        <w:trPr>
          <w:trHeight w:val="1800" w:hRule="atLeast"/>
        </w:trPr>
        <w:tc>
          <w:tcPr>
            <w:tcW w:w="1029" w:type="dxa"/>
            <w:vMerge w:val="continue"/>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日常教育管理</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22</w:t>
            </w:r>
            <w:r>
              <w:rPr>
                <w:rFonts w:hint="eastAsia" w:ascii="宋体" w:hAnsi="宋体" w:cs="宋体"/>
                <w:color w:val="auto"/>
                <w:kern w:val="0"/>
                <w:sz w:val="18"/>
                <w:szCs w:val="18"/>
                <w:highlight w:val="none"/>
              </w:rPr>
              <w:t>分）</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积极开展学风建设，开展文明班级创建活动。</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总分</w:t>
            </w: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分。</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学年开展学风建设活动不少于2场，少一场扣1分。</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学年文明班级数≥10%得</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分，5%≤文明班级数＜10%得</w:t>
            </w:r>
            <w:r>
              <w:rPr>
                <w:rFonts w:hint="eastAsia" w:ascii="宋体" w:hAnsi="宋体" w:cs="宋体"/>
                <w:color w:val="auto"/>
                <w:kern w:val="0"/>
                <w:sz w:val="18"/>
                <w:szCs w:val="18"/>
                <w:highlight w:val="none"/>
                <w:lang w:val="en-US" w:eastAsia="zh-CN"/>
              </w:rPr>
              <w:t>1.5</w:t>
            </w:r>
            <w:r>
              <w:rPr>
                <w:rFonts w:hint="eastAsia" w:ascii="宋体" w:hAnsi="宋体" w:cs="宋体"/>
                <w:color w:val="auto"/>
                <w:kern w:val="0"/>
                <w:sz w:val="18"/>
                <w:szCs w:val="18"/>
                <w:highlight w:val="none"/>
              </w:rPr>
              <w:t>分，0%≤文明班级数＜5%得</w:t>
            </w:r>
            <w:r>
              <w:rPr>
                <w:rFonts w:hint="eastAsia" w:ascii="宋体" w:hAnsi="宋体" w:cs="宋体"/>
                <w:color w:val="auto"/>
                <w:kern w:val="0"/>
                <w:sz w:val="18"/>
                <w:szCs w:val="18"/>
                <w:highlight w:val="none"/>
                <w:lang w:val="en-US" w:eastAsia="zh-CN"/>
              </w:rPr>
              <w:t>0.5</w:t>
            </w:r>
            <w:r>
              <w:rPr>
                <w:rFonts w:hint="eastAsia" w:ascii="宋体" w:hAnsi="宋体" w:cs="宋体"/>
                <w:color w:val="auto"/>
                <w:kern w:val="0"/>
                <w:sz w:val="18"/>
                <w:szCs w:val="18"/>
                <w:highlight w:val="none"/>
              </w:rPr>
              <w:t>分（折算后文明班级数不足1的以1个班计算，超过1的四舍五入）。</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学风建设活动报道等相关材料</w:t>
            </w:r>
          </w:p>
        </w:tc>
      </w:tr>
      <w:tr>
        <w:tblPrEx>
          <w:tblCellMar>
            <w:top w:w="0" w:type="dxa"/>
            <w:left w:w="108" w:type="dxa"/>
            <w:bottom w:w="0" w:type="dxa"/>
            <w:right w:w="108" w:type="dxa"/>
          </w:tblCellMar>
        </w:tblPrEx>
        <w:trPr>
          <w:trHeight w:val="320" w:hRule="atLeast"/>
        </w:trPr>
        <w:tc>
          <w:tcPr>
            <w:tcW w:w="1029" w:type="dxa"/>
            <w:vMerge w:val="continue"/>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学生安定稳定，无重大安全和意识形态事故，无打架、聚众闹事等重大违纪事件，危机事件处置得当，无漏报、瞒报。</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总分</w:t>
            </w:r>
            <w:r>
              <w:rPr>
                <w:rFonts w:hint="eastAsia" w:ascii="宋体" w:hAnsi="宋体" w:cs="宋体"/>
                <w:color w:val="auto"/>
                <w:kern w:val="0"/>
                <w:sz w:val="18"/>
                <w:szCs w:val="18"/>
                <w:highlight w:val="none"/>
                <w:lang w:val="en-US" w:eastAsia="zh-CN"/>
              </w:rPr>
              <w:t>7</w:t>
            </w:r>
            <w:r>
              <w:rPr>
                <w:rFonts w:hint="eastAsia" w:ascii="宋体" w:hAnsi="宋体" w:cs="宋体"/>
                <w:color w:val="auto"/>
                <w:kern w:val="0"/>
                <w:sz w:val="18"/>
                <w:szCs w:val="18"/>
                <w:highlight w:val="none"/>
              </w:rPr>
              <w:t>分。</w:t>
            </w:r>
          </w:p>
          <w:p>
            <w:pPr>
              <w:widowControl/>
              <w:numPr>
                <w:ilvl w:val="0"/>
                <w:numId w:val="0"/>
              </w:numPr>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发生意识形态安全或者重大学生安全事故等，</w:t>
            </w:r>
            <w:r>
              <w:rPr>
                <w:rFonts w:hint="eastAsia" w:ascii="宋体" w:hAnsi="宋体" w:cs="宋体"/>
                <w:color w:val="auto"/>
                <w:kern w:val="0"/>
                <w:sz w:val="18"/>
                <w:szCs w:val="18"/>
                <w:highlight w:val="none"/>
                <w:lang w:eastAsia="zh-CN"/>
              </w:rPr>
              <w:t>本项不得分；</w:t>
            </w:r>
          </w:p>
          <w:p>
            <w:pPr>
              <w:widowControl/>
              <w:numPr>
                <w:ilvl w:val="0"/>
                <w:numId w:val="0"/>
              </w:numPr>
              <w:ind w:leftChars="0"/>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出现危机事件处置不当</w:t>
            </w:r>
            <w:r>
              <w:rPr>
                <w:rFonts w:hint="eastAsia" w:ascii="宋体" w:hAnsi="宋体" w:cs="宋体"/>
                <w:color w:val="auto"/>
                <w:kern w:val="0"/>
                <w:sz w:val="18"/>
                <w:szCs w:val="18"/>
                <w:highlight w:val="none"/>
                <w:lang w:eastAsia="zh-CN"/>
              </w:rPr>
              <w:t>的，视情况</w:t>
            </w:r>
            <w:r>
              <w:rPr>
                <w:rFonts w:hint="eastAsia" w:ascii="宋体" w:hAnsi="宋体" w:cs="宋体"/>
                <w:color w:val="auto"/>
                <w:kern w:val="0"/>
                <w:sz w:val="18"/>
                <w:szCs w:val="18"/>
                <w:highlight w:val="none"/>
              </w:rPr>
              <w:t>扣</w:t>
            </w:r>
            <w:r>
              <w:rPr>
                <w:rFonts w:hint="eastAsia" w:ascii="宋体" w:hAnsi="宋体" w:cs="宋体"/>
                <w:color w:val="auto"/>
                <w:kern w:val="0"/>
                <w:sz w:val="18"/>
                <w:szCs w:val="18"/>
                <w:highlight w:val="none"/>
                <w:lang w:val="en-US" w:eastAsia="zh-CN"/>
              </w:rPr>
              <w:t>2-7</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w:t>
            </w:r>
          </w:p>
          <w:p>
            <w:pPr>
              <w:widowControl/>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发生学生打架、聚众闹事等</w:t>
            </w:r>
            <w:r>
              <w:rPr>
                <w:rFonts w:hint="eastAsia" w:ascii="宋体" w:hAnsi="宋体" w:cs="宋体"/>
                <w:color w:val="auto"/>
                <w:kern w:val="0"/>
                <w:sz w:val="18"/>
                <w:szCs w:val="18"/>
                <w:highlight w:val="none"/>
                <w:lang w:eastAsia="zh-CN"/>
              </w:rPr>
              <w:t>情况，</w:t>
            </w:r>
            <w:r>
              <w:rPr>
                <w:rFonts w:hint="eastAsia" w:ascii="宋体" w:hAnsi="宋体" w:cs="宋体"/>
                <w:color w:val="auto"/>
                <w:kern w:val="0"/>
                <w:sz w:val="18"/>
                <w:szCs w:val="18"/>
                <w:highlight w:val="none"/>
              </w:rPr>
              <w:t>每次视情节扣0.5-2分</w:t>
            </w:r>
            <w:r>
              <w:rPr>
                <w:rFonts w:hint="eastAsia" w:ascii="宋体" w:hAnsi="宋体" w:cs="宋体"/>
                <w:color w:val="auto"/>
                <w:kern w:val="0"/>
                <w:sz w:val="18"/>
                <w:szCs w:val="18"/>
                <w:highlight w:val="none"/>
                <w:lang w:eastAsia="zh-CN"/>
              </w:rPr>
              <w:t>；</w:t>
            </w:r>
          </w:p>
          <w:p>
            <w:pPr>
              <w:widowControl/>
              <w:numPr>
                <w:ilvl w:val="0"/>
                <w:numId w:val="0"/>
              </w:numP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漏报、瞒报</w:t>
            </w:r>
            <w:r>
              <w:rPr>
                <w:rFonts w:hint="eastAsia" w:ascii="宋体" w:hAnsi="宋体" w:cs="宋体"/>
                <w:color w:val="auto"/>
                <w:kern w:val="0"/>
                <w:sz w:val="18"/>
                <w:szCs w:val="18"/>
                <w:highlight w:val="none"/>
                <w:lang w:eastAsia="zh-CN"/>
              </w:rPr>
              <w:t>相关</w:t>
            </w:r>
            <w:r>
              <w:rPr>
                <w:rFonts w:hint="eastAsia" w:ascii="宋体" w:hAnsi="宋体" w:cs="宋体"/>
                <w:color w:val="auto"/>
                <w:kern w:val="0"/>
                <w:sz w:val="18"/>
                <w:szCs w:val="18"/>
                <w:highlight w:val="none"/>
              </w:rPr>
              <w:t>情况</w:t>
            </w:r>
            <w:r>
              <w:rPr>
                <w:rFonts w:hint="eastAsia" w:ascii="宋体" w:hAnsi="宋体" w:cs="宋体"/>
                <w:color w:val="auto"/>
                <w:kern w:val="0"/>
                <w:sz w:val="18"/>
                <w:szCs w:val="18"/>
                <w:highlight w:val="none"/>
                <w:lang w:eastAsia="zh-CN"/>
              </w:rPr>
              <w:t>，本项不得分</w:t>
            </w:r>
            <w:r>
              <w:rPr>
                <w:rFonts w:hint="eastAsia" w:ascii="宋体" w:hAnsi="宋体" w:cs="宋体"/>
                <w:color w:val="auto"/>
                <w:kern w:val="0"/>
                <w:sz w:val="18"/>
                <w:szCs w:val="18"/>
                <w:highlight w:val="none"/>
              </w:rPr>
              <w:t>。</w:t>
            </w:r>
          </w:p>
          <w:p>
            <w:pPr>
              <w:widowControl/>
              <w:numPr>
                <w:ilvl w:val="0"/>
                <w:numId w:val="0"/>
              </w:numPr>
              <w:jc w:val="left"/>
              <w:rPr>
                <w:rFonts w:hint="eastAsia" w:ascii="宋体" w:hAnsi="宋体" w:cs="宋体"/>
                <w:color w:val="auto"/>
                <w:kern w:val="0"/>
                <w:sz w:val="18"/>
                <w:szCs w:val="18"/>
                <w:highlight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学工提供</w:t>
            </w:r>
          </w:p>
        </w:tc>
      </w:tr>
      <w:tr>
        <w:tblPrEx>
          <w:tblCellMar>
            <w:top w:w="0" w:type="dxa"/>
            <w:left w:w="108" w:type="dxa"/>
            <w:bottom w:w="0" w:type="dxa"/>
            <w:right w:w="108" w:type="dxa"/>
          </w:tblCellMar>
        </w:tblPrEx>
        <w:trPr>
          <w:trHeight w:val="320" w:hRule="atLeast"/>
        </w:trPr>
        <w:tc>
          <w:tcPr>
            <w:tcW w:w="1029" w:type="dxa"/>
            <w:vMerge w:val="continue"/>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eastAsia="zh-CN"/>
              </w:rPr>
            </w:pPr>
          </w:p>
          <w:p>
            <w:pPr>
              <w:widowControl/>
              <w:jc w:val="center"/>
              <w:rPr>
                <w:rFonts w:hint="eastAsia" w:ascii="宋体" w:hAnsi="宋体" w:cs="宋体"/>
                <w:color w:val="auto"/>
                <w:kern w:val="0"/>
                <w:sz w:val="18"/>
                <w:szCs w:val="18"/>
                <w:highlight w:val="none"/>
                <w:lang w:eastAsia="zh-CN"/>
              </w:rPr>
            </w:pPr>
          </w:p>
          <w:p>
            <w:pPr>
              <w:widowControl/>
              <w:jc w:val="center"/>
              <w:rPr>
                <w:rFonts w:hint="eastAsia" w:ascii="宋体" w:hAnsi="宋体" w:cs="宋体"/>
                <w:color w:val="auto"/>
                <w:kern w:val="0"/>
                <w:sz w:val="18"/>
                <w:szCs w:val="18"/>
                <w:highlight w:val="none"/>
                <w:lang w:eastAsia="zh-CN"/>
              </w:rPr>
            </w:pPr>
          </w:p>
          <w:p>
            <w:pPr>
              <w:widowControl/>
              <w:jc w:val="center"/>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落实学生</w:t>
            </w:r>
          </w:p>
          <w:p>
            <w:pPr>
              <w:widowControl/>
              <w:jc w:val="center"/>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日常管理工作</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总分4分。</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1.2</w:t>
            </w:r>
            <w:r>
              <w:rPr>
                <w:rFonts w:hint="eastAsia" w:ascii="宋体" w:hAnsi="宋体" w:cs="宋体"/>
                <w:color w:val="auto"/>
                <w:kern w:val="0"/>
                <w:sz w:val="18"/>
                <w:szCs w:val="18"/>
                <w:highlight w:val="none"/>
              </w:rPr>
              <w:t>分。开展学生安全教育，将各类教育贯穿新生入学、日常教育、节假日、寒暑假、毕业生离校等各环节全过程，培养学生良好安全</w:t>
            </w:r>
            <w:r>
              <w:rPr>
                <w:rFonts w:hint="eastAsia" w:ascii="宋体" w:hAnsi="宋体" w:cs="宋体"/>
                <w:color w:val="auto"/>
                <w:kern w:val="0"/>
                <w:sz w:val="18"/>
                <w:szCs w:val="18"/>
                <w:highlight w:val="none"/>
                <w:lang w:eastAsia="zh-CN"/>
              </w:rPr>
              <w:t>文明习惯</w:t>
            </w:r>
            <w:r>
              <w:rPr>
                <w:rFonts w:hint="eastAsia" w:ascii="宋体" w:hAnsi="宋体" w:cs="宋体"/>
                <w:color w:val="auto"/>
                <w:kern w:val="0"/>
                <w:sz w:val="18"/>
                <w:szCs w:val="18"/>
                <w:highlight w:val="none"/>
              </w:rPr>
              <w:t>。</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0.8</w:t>
            </w:r>
            <w:r>
              <w:rPr>
                <w:rFonts w:hint="eastAsia" w:ascii="宋体" w:hAnsi="宋体" w:cs="宋体"/>
                <w:color w:val="auto"/>
                <w:kern w:val="0"/>
                <w:sz w:val="18"/>
                <w:szCs w:val="18"/>
                <w:highlight w:val="none"/>
              </w:rPr>
              <w:t>分。开展健康教育和爱国卫生运动，做好传染病防控教育，每学年不少2场，缺一场扣0.</w:t>
            </w: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分.</w:t>
            </w:r>
          </w:p>
          <w:p>
            <w:pPr>
              <w:widowControl/>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2.</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分。做好学生日常管理，开展晚点名、假期去向统计等工作，学生管理到位、数据无错漏，缺失、错漏、管理不力的每次扣0.4分。</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文件、新闻稿</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提交材料</w:t>
            </w:r>
            <w:r>
              <w:rPr>
                <w:rFonts w:hint="eastAsia" w:ascii="宋体" w:hAnsi="宋体" w:cs="宋体"/>
                <w:color w:val="auto"/>
                <w:kern w:val="0"/>
                <w:sz w:val="18"/>
                <w:szCs w:val="18"/>
                <w:highlight w:val="none"/>
              </w:rPr>
              <w:t>等佐证、过程性材料等。</w:t>
            </w:r>
          </w:p>
        </w:tc>
      </w:tr>
      <w:tr>
        <w:tblPrEx>
          <w:tblCellMar>
            <w:top w:w="0" w:type="dxa"/>
            <w:left w:w="108" w:type="dxa"/>
            <w:bottom w:w="0" w:type="dxa"/>
            <w:right w:w="108" w:type="dxa"/>
          </w:tblCellMar>
        </w:tblPrEx>
        <w:trPr>
          <w:trHeight w:val="296" w:hRule="atLeast"/>
        </w:trPr>
        <w:tc>
          <w:tcPr>
            <w:tcW w:w="1029" w:type="dxa"/>
            <w:vMerge w:val="continue"/>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扎实开展“励园馨居”创建活动，学生宿舍秩序良好，内务卫生整洁，宿舍文化活动丰富</w:t>
            </w:r>
            <w:r>
              <w:rPr>
                <w:rFonts w:hint="eastAsia" w:ascii="宋体" w:hAnsi="宋体" w:cs="宋体"/>
                <w:color w:val="auto"/>
                <w:kern w:val="0"/>
                <w:sz w:val="18"/>
                <w:szCs w:val="18"/>
                <w:highlight w:val="none"/>
                <w:lang w:eastAsia="zh-CN"/>
              </w:rPr>
              <w:t>。</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总分7分。</w:t>
            </w:r>
          </w:p>
          <w:p>
            <w:pPr>
              <w:widowControl/>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1.本项共2分。文明宿舍(含励志文明宿舍、标兵文明宿舍）获奖比例高，获奖比例＞20%得2分；15%＜获奖比例≤20%得1.5分；获奖比例≤15%不得分。</w:t>
            </w:r>
          </w:p>
          <w:p>
            <w:pPr>
              <w:widowControl/>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2.本项共1.6分。学生宿舍内务卫生，达成“励园馨居”创建目标，宣传教育、选树典型、全面创建、巩固推广，每项0.4分。</w:t>
            </w:r>
          </w:p>
          <w:p>
            <w:pPr>
              <w:widowControl/>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3.本项共1分。开展习惯养成教育、垃圾分类等宿舍文化活动，每学年不少4场，每缺一场扣0.25分。</w:t>
            </w:r>
          </w:p>
          <w:p>
            <w:pPr>
              <w:widowControl/>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4.本项共0.4分。做好安全检查及教育整改，定期、不定期开展本单位公寓安全检查，每季度提交检查和教育材料，材料不齐或未及时整改，根据情况给分；</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5.本项共2分。安全隐患检查违规率低，根据校级安全隐患督查通报情况认定，宿舍违纪率＞10%不得分；通报单未及时整改，每次扣0.4分。</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公寓日常检查</w:t>
            </w:r>
            <w:r>
              <w:rPr>
                <w:rFonts w:hint="eastAsia" w:ascii="宋体" w:hAnsi="宋体" w:cs="宋体"/>
                <w:color w:val="auto"/>
                <w:kern w:val="0"/>
                <w:sz w:val="18"/>
                <w:szCs w:val="18"/>
                <w:highlight w:val="none"/>
                <w:lang w:val="en-US" w:eastAsia="zh-CN"/>
              </w:rPr>
              <w:t>和宿舍文化活动</w:t>
            </w:r>
            <w:r>
              <w:rPr>
                <w:rFonts w:hint="eastAsia" w:ascii="宋体" w:hAnsi="宋体" w:cs="宋体"/>
                <w:color w:val="auto"/>
                <w:kern w:val="0"/>
                <w:sz w:val="18"/>
                <w:szCs w:val="18"/>
                <w:highlight w:val="none"/>
              </w:rPr>
              <w:t>材料</w:t>
            </w:r>
          </w:p>
        </w:tc>
      </w:tr>
      <w:tr>
        <w:tblPrEx>
          <w:tblCellMar>
            <w:top w:w="0" w:type="dxa"/>
            <w:left w:w="108" w:type="dxa"/>
            <w:bottom w:w="0" w:type="dxa"/>
            <w:right w:w="108" w:type="dxa"/>
          </w:tblCellMar>
        </w:tblPrEx>
        <w:trPr>
          <w:trHeight w:val="1800" w:hRule="atLeast"/>
        </w:trPr>
        <w:tc>
          <w:tcPr>
            <w:tcW w:w="1029" w:type="dxa"/>
            <w:vMerge w:val="continue"/>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征兵工作</w:t>
            </w:r>
          </w:p>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5</w:t>
            </w:r>
            <w:r>
              <w:rPr>
                <w:rFonts w:hint="eastAsia" w:ascii="宋体" w:hAnsi="宋体" w:cs="宋体"/>
                <w:color w:val="auto"/>
                <w:kern w:val="0"/>
                <w:sz w:val="18"/>
                <w:szCs w:val="18"/>
                <w:highlight w:val="none"/>
              </w:rPr>
              <w:t>分）</w:t>
            </w:r>
          </w:p>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特殊教育</w:t>
            </w:r>
            <w:r>
              <w:rPr>
                <w:rFonts w:hint="eastAsia" w:ascii="宋体" w:hAnsi="宋体" w:cs="宋体"/>
                <w:color w:val="auto"/>
                <w:kern w:val="0"/>
                <w:sz w:val="18"/>
                <w:szCs w:val="18"/>
                <w:highlight w:val="none"/>
                <w:lang w:eastAsia="zh-CN"/>
              </w:rPr>
              <w:t>学院</w:t>
            </w:r>
            <w:r>
              <w:rPr>
                <w:rFonts w:hint="eastAsia" w:ascii="宋体" w:hAnsi="宋体" w:cs="宋体"/>
                <w:color w:val="auto"/>
                <w:kern w:val="0"/>
                <w:sz w:val="18"/>
                <w:szCs w:val="18"/>
                <w:highlight w:val="none"/>
              </w:rPr>
              <w:t>取其他院系去掉一个最高分和一个最低分后的平均分</w:t>
            </w:r>
            <w:r>
              <w:rPr>
                <w:rFonts w:hint="eastAsia" w:ascii="宋体" w:hAnsi="宋体" w:cs="宋体"/>
                <w:color w:val="auto"/>
                <w:kern w:val="0"/>
                <w:sz w:val="18"/>
                <w:szCs w:val="18"/>
                <w:highlight w:val="none"/>
                <w:lang w:eastAsia="zh-CN"/>
              </w:rPr>
              <w:t>）</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适龄男性大学生的兵役登记</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总分</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根据学工系统中兵役登记率核算，</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兵役登记率100%得</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100%&gt;登记率≥90%得</w:t>
            </w:r>
            <w:r>
              <w:rPr>
                <w:rFonts w:hint="eastAsia" w:ascii="宋体" w:hAnsi="宋体" w:cs="宋体"/>
                <w:color w:val="auto"/>
                <w:kern w:val="0"/>
                <w:sz w:val="18"/>
                <w:szCs w:val="18"/>
                <w:highlight w:val="none"/>
                <w:lang w:val="en-US" w:eastAsia="zh-CN"/>
              </w:rPr>
              <w:t>1.5</w:t>
            </w:r>
            <w:r>
              <w:rPr>
                <w:rFonts w:hint="eastAsia" w:ascii="宋体" w:hAnsi="宋体" w:cs="宋体"/>
                <w:color w:val="auto"/>
                <w:kern w:val="0"/>
                <w:sz w:val="18"/>
                <w:szCs w:val="18"/>
                <w:highlight w:val="none"/>
              </w:rPr>
              <w:t>分，</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90%&gt;登记率≥80%得</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分，</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80%&gt;登记率≥70%得</w:t>
            </w:r>
            <w:r>
              <w:rPr>
                <w:rFonts w:hint="eastAsia" w:ascii="宋体" w:hAnsi="宋体" w:cs="宋体"/>
                <w:color w:val="auto"/>
                <w:kern w:val="0"/>
                <w:sz w:val="18"/>
                <w:szCs w:val="18"/>
                <w:highlight w:val="none"/>
                <w:lang w:val="en-US" w:eastAsia="zh-CN"/>
              </w:rPr>
              <w:t>0.5</w:t>
            </w:r>
            <w:r>
              <w:rPr>
                <w:rFonts w:hint="eastAsia" w:ascii="宋体" w:hAnsi="宋体" w:cs="宋体"/>
                <w:color w:val="auto"/>
                <w:kern w:val="0"/>
                <w:sz w:val="18"/>
                <w:szCs w:val="18"/>
                <w:highlight w:val="none"/>
              </w:rPr>
              <w:t>分，</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低于</w:t>
            </w:r>
            <w:r>
              <w:rPr>
                <w:rFonts w:hint="eastAsia" w:ascii="宋体" w:hAnsi="宋体" w:cs="宋体"/>
                <w:color w:val="auto"/>
                <w:kern w:val="0"/>
                <w:sz w:val="18"/>
                <w:szCs w:val="18"/>
                <w:highlight w:val="none"/>
                <w:lang w:val="en-US" w:eastAsia="zh-CN"/>
              </w:rPr>
              <w:t>7</w:t>
            </w:r>
            <w:r>
              <w:rPr>
                <w:rFonts w:hint="eastAsia" w:ascii="宋体" w:hAnsi="宋体" w:cs="宋体"/>
                <w:color w:val="auto"/>
                <w:kern w:val="0"/>
                <w:sz w:val="18"/>
                <w:szCs w:val="18"/>
                <w:highlight w:val="none"/>
              </w:rPr>
              <w:t>0%不得分。</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以学工系统“入伍学生服务管理”模块“兵役登记”栏校级可查数据为准，并抽查系统内佐证。</w:t>
            </w:r>
          </w:p>
        </w:tc>
      </w:tr>
      <w:tr>
        <w:tblPrEx>
          <w:tblCellMar>
            <w:top w:w="0" w:type="dxa"/>
            <w:left w:w="108" w:type="dxa"/>
            <w:bottom w:w="0" w:type="dxa"/>
            <w:right w:w="108" w:type="dxa"/>
          </w:tblCellMar>
        </w:tblPrEx>
        <w:trPr>
          <w:trHeight w:val="455" w:hRule="atLeast"/>
        </w:trPr>
        <w:tc>
          <w:tcPr>
            <w:tcW w:w="1029" w:type="dxa"/>
            <w:vMerge w:val="continue"/>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完成参军任务（以上一年度人数计算）</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总分3分。</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rPr>
              <w:t>1分。根据入伍学生数与当年入伍学生总任务数的比例进行加分。</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比例≥100%，加1分；</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90%≤比例＜100%，加0.5分；</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80%≤比例＜90%，加0.25分；</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比例＜80%，不得分。</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rPr>
              <w:t xml:space="preserve">1.2分，根据从院校地入伍学生数加分，每生0.4分。 </w:t>
            </w:r>
          </w:p>
          <w:p>
            <w:pPr>
              <w:widowControl/>
              <w:jc w:val="left"/>
              <w:rPr>
                <w:rFonts w:ascii="宋体" w:hAnsi="宋体" w:eastAsia="宋体" w:cs="宋体"/>
                <w:color w:val="auto"/>
                <w:sz w:val="24"/>
                <w:szCs w:val="24"/>
                <w:highlight w:val="none"/>
              </w:rPr>
            </w:pP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rPr>
              <w:t>0.8分，根据从生源地入伍学生数加分，每生0.2分。</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学工系统“入伍学生服务管理”模块“应征结果登记”栏校级可查数据为准，并抽查系统内佐证。</w:t>
            </w:r>
          </w:p>
        </w:tc>
      </w:tr>
      <w:tr>
        <w:tblPrEx>
          <w:tblCellMar>
            <w:top w:w="0" w:type="dxa"/>
            <w:left w:w="108" w:type="dxa"/>
            <w:bottom w:w="0" w:type="dxa"/>
            <w:right w:w="108" w:type="dxa"/>
          </w:tblCellMar>
        </w:tblPrEx>
        <w:trPr>
          <w:trHeight w:val="1350" w:hRule="atLeast"/>
        </w:trPr>
        <w:tc>
          <w:tcPr>
            <w:tcW w:w="102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学生资助工作20%</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 xml:space="preserve">                                                                                                         学生资助常规工作</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（13分）</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家庭经济困难学生认定工作，认定程序是否规范</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总分3分。</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如有收到向学校及以上层面提出异议、投诉经查实，发生一起</w:t>
            </w:r>
            <w:r>
              <w:rPr>
                <w:rFonts w:hint="eastAsia" w:ascii="宋体" w:hAnsi="宋体" w:cs="宋体"/>
                <w:color w:val="auto"/>
                <w:kern w:val="0"/>
                <w:sz w:val="18"/>
                <w:szCs w:val="18"/>
                <w:highlight w:val="none"/>
                <w:lang w:eastAsia="zh-CN"/>
              </w:rPr>
              <w:t>该项</w:t>
            </w:r>
            <w:r>
              <w:rPr>
                <w:rFonts w:hint="eastAsia" w:ascii="宋体" w:hAnsi="宋体" w:cs="宋体"/>
                <w:color w:val="auto"/>
                <w:kern w:val="0"/>
                <w:sz w:val="18"/>
                <w:szCs w:val="18"/>
                <w:highlight w:val="none"/>
              </w:rPr>
              <w:t>不得分。</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1.评审公示</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2.评审会议纪要</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3.学生家庭经济困难材料</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4.福建助学APP系统信息填报</w:t>
            </w:r>
          </w:p>
        </w:tc>
      </w:tr>
      <w:tr>
        <w:tblPrEx>
          <w:tblCellMar>
            <w:top w:w="0" w:type="dxa"/>
            <w:left w:w="108" w:type="dxa"/>
            <w:bottom w:w="0" w:type="dxa"/>
            <w:right w:w="108" w:type="dxa"/>
          </w:tblCellMar>
        </w:tblPrEx>
        <w:trPr>
          <w:trHeight w:val="1575"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各类奖、助金工作评选是否公开、公正、公平</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总分</w:t>
            </w:r>
            <w:r>
              <w:rPr>
                <w:rFonts w:hint="eastAsia" w:ascii="宋体" w:hAnsi="宋体" w:cs="宋体"/>
                <w:color w:val="auto"/>
                <w:kern w:val="0"/>
                <w:sz w:val="18"/>
                <w:szCs w:val="18"/>
                <w:highlight w:val="none"/>
                <w:lang w:val="en-US" w:eastAsia="zh-CN"/>
              </w:rPr>
              <w:t>8</w:t>
            </w:r>
            <w:r>
              <w:rPr>
                <w:rFonts w:hint="eastAsia" w:ascii="宋体" w:hAnsi="宋体" w:cs="宋体"/>
                <w:color w:val="auto"/>
                <w:kern w:val="0"/>
                <w:sz w:val="18"/>
                <w:szCs w:val="18"/>
                <w:highlight w:val="none"/>
              </w:rPr>
              <w:t>分。</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每个资助单项2分。有向学校及以上层面提出异议、投诉经查实不得分。</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1.评审公示</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2.评审会议纪要</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3.学生奖、助学金申请材料</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4.福建助学APP系统、学校学生工作信息化管理系统信息填报</w:t>
            </w:r>
          </w:p>
        </w:tc>
      </w:tr>
      <w:tr>
        <w:tblPrEx>
          <w:tblCellMar>
            <w:top w:w="0" w:type="dxa"/>
            <w:left w:w="108" w:type="dxa"/>
            <w:bottom w:w="0" w:type="dxa"/>
            <w:right w:w="108" w:type="dxa"/>
          </w:tblCellMar>
        </w:tblPrEx>
        <w:trPr>
          <w:trHeight w:val="1575"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各类奖助材料是否按时上交，档案是否齐全</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总分</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w:t>
            </w:r>
          </w:p>
          <w:p>
            <w:pPr>
              <w:widowControl/>
              <w:jc w:val="left"/>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纸质材料缺交超过1个月不补齐的扣1分，要求留存系部的档案材料未保存扣2分，不齐全的扣1分</w:t>
            </w:r>
            <w:r>
              <w:rPr>
                <w:rFonts w:hint="eastAsia" w:ascii="宋体" w:hAnsi="宋体" w:cs="宋体"/>
                <w:color w:val="auto"/>
                <w:kern w:val="0"/>
                <w:sz w:val="18"/>
                <w:szCs w:val="18"/>
                <w:highlight w:val="none"/>
              </w:rPr>
              <w:t>。</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查阅档案材料</w:t>
            </w:r>
          </w:p>
        </w:tc>
      </w:tr>
      <w:tr>
        <w:tblPrEx>
          <w:tblCellMar>
            <w:top w:w="0" w:type="dxa"/>
            <w:left w:w="108" w:type="dxa"/>
            <w:bottom w:w="0" w:type="dxa"/>
            <w:right w:w="108" w:type="dxa"/>
          </w:tblCellMar>
        </w:tblPrEx>
        <w:trPr>
          <w:trHeight w:val="45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资助育人工作</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（7分）</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学院层面资助育人主题活动教育次数</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总分2分。</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主题活动每开展一次得0.4分。</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1.活动计划</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2.简讯</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3.图片等材料</w:t>
            </w:r>
          </w:p>
        </w:tc>
      </w:tr>
      <w:tr>
        <w:tblPrEx>
          <w:tblCellMar>
            <w:top w:w="0" w:type="dxa"/>
            <w:left w:w="108" w:type="dxa"/>
            <w:bottom w:w="0" w:type="dxa"/>
            <w:right w:w="108" w:type="dxa"/>
          </w:tblCellMar>
        </w:tblPrEx>
        <w:trPr>
          <w:trHeight w:val="9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落实学校统一组织的</w:t>
            </w:r>
            <w:r>
              <w:rPr>
                <w:rFonts w:hint="eastAsia" w:ascii="宋体" w:hAnsi="宋体" w:cs="宋体"/>
                <w:color w:val="auto"/>
                <w:kern w:val="0"/>
                <w:sz w:val="18"/>
                <w:szCs w:val="18"/>
                <w:highlight w:val="none"/>
                <w:lang w:eastAsia="zh-CN"/>
              </w:rPr>
              <w:t>资助</w:t>
            </w:r>
            <w:r>
              <w:rPr>
                <w:rFonts w:hint="eastAsia" w:ascii="宋体" w:hAnsi="宋体" w:cs="宋体"/>
                <w:color w:val="auto"/>
                <w:kern w:val="0"/>
                <w:sz w:val="18"/>
                <w:szCs w:val="18"/>
                <w:highlight w:val="none"/>
              </w:rPr>
              <w:t>活动情况</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总分</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分。</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视学校统一安排的活动参与情况酌情给分。未举办或未参与一次扣1分。</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1125"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auto"/>
                <w:kern w:val="0"/>
                <w:sz w:val="18"/>
                <w:szCs w:val="18"/>
                <w:highlight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资助育人工作典型案例及校级媒体报道情况</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总分</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校级媒体平台报道有关资助宣传、资助育人典型事迹，每报道一次得1分。向学校推选校级资助育人优秀学生典型并被选用，每次加1分</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1.典型事迹材料</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2.报道截图</w:t>
            </w:r>
          </w:p>
        </w:tc>
      </w:tr>
    </w:tbl>
    <w:p>
      <w:pPr>
        <w:rPr>
          <w:rFonts w:hint="eastAsia" w:eastAsia="宋体"/>
          <w:color w:val="0000FF"/>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EEAF5E-B37C-4825-8206-5FCDA0A017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3D8EB11-6876-4B29-91F6-D26211C91128}"/>
  </w:font>
  <w:font w:name="仿宋">
    <w:panose1 w:val="02010609060101010101"/>
    <w:charset w:val="7A"/>
    <w:family w:val="modern"/>
    <w:pitch w:val="default"/>
    <w:sig w:usb0="800002BF" w:usb1="38CF7CFA" w:usb2="00000016" w:usb3="00000000" w:csb0="00040001" w:csb1="00000000"/>
    <w:embedRegular r:id="rId3" w:fontKey="{DB561A8B-5A14-4E63-9E3A-FDE11A8A4C5A}"/>
  </w:font>
  <w:font w:name="方正小标宋简体">
    <w:panose1 w:val="03000509000000000000"/>
    <w:charset w:val="86"/>
    <w:family w:val="script"/>
    <w:pitch w:val="default"/>
    <w:sig w:usb0="00000001" w:usb1="080E0000" w:usb2="00000000" w:usb3="00000000" w:csb0="00040000" w:csb1="00000000"/>
    <w:embedRegular r:id="rId4" w:fontKey="{4CB1EB35-E455-41D1-B5B4-5A9B8AA5EF9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AF252"/>
    <w:multiLevelType w:val="singleLevel"/>
    <w:tmpl w:val="06DAF25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ZGQyNzFhOTcyNzI1MWNhNTE4MjViMTE4OTcwYmYifQ=="/>
  </w:docVars>
  <w:rsids>
    <w:rsidRoot w:val="2C6D2BF7"/>
    <w:rsid w:val="017223D7"/>
    <w:rsid w:val="046C0A9F"/>
    <w:rsid w:val="05376B23"/>
    <w:rsid w:val="054548D0"/>
    <w:rsid w:val="079A524B"/>
    <w:rsid w:val="08FD0245"/>
    <w:rsid w:val="09AD473F"/>
    <w:rsid w:val="0A0A68D0"/>
    <w:rsid w:val="0BD876CB"/>
    <w:rsid w:val="11184405"/>
    <w:rsid w:val="12A27BD8"/>
    <w:rsid w:val="13C50F53"/>
    <w:rsid w:val="13CB5FFB"/>
    <w:rsid w:val="16516808"/>
    <w:rsid w:val="1681529F"/>
    <w:rsid w:val="176F3BD1"/>
    <w:rsid w:val="179606CE"/>
    <w:rsid w:val="189D02AC"/>
    <w:rsid w:val="189D47E3"/>
    <w:rsid w:val="19024300"/>
    <w:rsid w:val="1AFF2A2E"/>
    <w:rsid w:val="1D554B87"/>
    <w:rsid w:val="1DAB37BF"/>
    <w:rsid w:val="1E6D7CAF"/>
    <w:rsid w:val="1E98466E"/>
    <w:rsid w:val="1EB10CE8"/>
    <w:rsid w:val="215C4736"/>
    <w:rsid w:val="22D56455"/>
    <w:rsid w:val="270C4A34"/>
    <w:rsid w:val="274B11CB"/>
    <w:rsid w:val="279F1DF6"/>
    <w:rsid w:val="298F4F7D"/>
    <w:rsid w:val="2C6D2BF7"/>
    <w:rsid w:val="2C862667"/>
    <w:rsid w:val="2CD31625"/>
    <w:rsid w:val="2D92113F"/>
    <w:rsid w:val="2F5C02C5"/>
    <w:rsid w:val="30273D1D"/>
    <w:rsid w:val="30667A9C"/>
    <w:rsid w:val="30DF0053"/>
    <w:rsid w:val="32940808"/>
    <w:rsid w:val="35026383"/>
    <w:rsid w:val="36C11A4F"/>
    <w:rsid w:val="38A342BD"/>
    <w:rsid w:val="390B428C"/>
    <w:rsid w:val="3AA86B23"/>
    <w:rsid w:val="3CC72F54"/>
    <w:rsid w:val="3DD15D8C"/>
    <w:rsid w:val="40E93840"/>
    <w:rsid w:val="410302D3"/>
    <w:rsid w:val="43E51F12"/>
    <w:rsid w:val="4564326E"/>
    <w:rsid w:val="46625A9C"/>
    <w:rsid w:val="49C61053"/>
    <w:rsid w:val="4AF34F14"/>
    <w:rsid w:val="4B453B4E"/>
    <w:rsid w:val="4CB547D2"/>
    <w:rsid w:val="4DAC584E"/>
    <w:rsid w:val="4EF92D15"/>
    <w:rsid w:val="53E61ABA"/>
    <w:rsid w:val="58BD167A"/>
    <w:rsid w:val="5AF06411"/>
    <w:rsid w:val="5B3A2BF9"/>
    <w:rsid w:val="5C6171FB"/>
    <w:rsid w:val="5E055233"/>
    <w:rsid w:val="5EBA601D"/>
    <w:rsid w:val="63F12225"/>
    <w:rsid w:val="646031C3"/>
    <w:rsid w:val="663649BE"/>
    <w:rsid w:val="68261133"/>
    <w:rsid w:val="68280ACA"/>
    <w:rsid w:val="6865349E"/>
    <w:rsid w:val="68C86EF5"/>
    <w:rsid w:val="6C157A02"/>
    <w:rsid w:val="6DDD5884"/>
    <w:rsid w:val="6EBC193D"/>
    <w:rsid w:val="6F6124E5"/>
    <w:rsid w:val="70B12FF8"/>
    <w:rsid w:val="7107220E"/>
    <w:rsid w:val="72454B56"/>
    <w:rsid w:val="7272585B"/>
    <w:rsid w:val="74FF4675"/>
    <w:rsid w:val="76241207"/>
    <w:rsid w:val="76D1709E"/>
    <w:rsid w:val="785F6899"/>
    <w:rsid w:val="7A7B26AD"/>
    <w:rsid w:val="7AB93891"/>
    <w:rsid w:val="7AF57820"/>
    <w:rsid w:val="7E4F6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2024-01-04T07:14:00Z</dcterms:created>
  <dc:creator>zizi</dc:creator>
  <cp:lastModifiedBy>清水由树</cp:lastModifiedBy>
  <cp:lastPrinted>2024-04-11T03:11:00Z</cp:lastPrinted>
  <dcterms:modified xsi:type="dcterms:W3CDTF">2024-04-15T12:03:54Z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7833509E85044B9E8C8EBF7152F235FB_13</vt:lpwstr>
  </property>
</Properties>
</file>