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6F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textAlignment w:val="baseline"/>
        <w:rPr>
          <w:rFonts w:hint="eastAsia" w:asciiTheme="minorEastAsia" w:hAnsiTheme="minorEastAsia" w:eastAsiaTheme="minorEastAsia" w:cstheme="minorEastAsia"/>
          <w:b/>
          <w:bCs/>
          <w:i w:val="0"/>
          <w:iCs w:val="0"/>
          <w:caps w:val="0"/>
          <w:color w:val="auto"/>
          <w:spacing w:val="0"/>
          <w:sz w:val="36"/>
          <w:szCs w:val="36"/>
        </w:rPr>
      </w:pPr>
      <w:r>
        <w:rPr>
          <w:rFonts w:hint="eastAsia" w:asciiTheme="minorEastAsia" w:hAnsiTheme="minorEastAsia" w:eastAsiaTheme="minorEastAsia" w:cstheme="minorEastAsia"/>
          <w:b/>
          <w:bCs/>
          <w:i w:val="0"/>
          <w:iCs w:val="0"/>
          <w:caps w:val="0"/>
          <w:color w:val="auto"/>
          <w:spacing w:val="0"/>
          <w:sz w:val="36"/>
          <w:szCs w:val="36"/>
          <w:bdr w:val="none" w:color="auto" w:sz="0" w:space="0"/>
          <w:shd w:val="clear" w:fill="FFFFFF"/>
          <w:vertAlign w:val="baseline"/>
        </w:rPr>
        <w:t>软件技术实训基地-智慧大数据可视化实训室公开招标招标公告</w:t>
      </w:r>
    </w:p>
    <w:p w14:paraId="1A4B7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pPr>
    </w:p>
    <w:p w14:paraId="43495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项目概况</w:t>
      </w:r>
    </w:p>
    <w:p w14:paraId="1062D4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受</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福州职业技术学院委托，福建盛鑫招标代理有限公司对[350101]FJSXZB[GK]2024009、软件技术实训基地-智慧大数据可视化实训室组织公开招标，现欢迎国内合格的供应商前来参加。软件技术实训基地-智慧大数据可视化实训室的潜在投标人应在福建省政府采购网(zfcg.czt.fujian.gov.cn)免费申请账号在福建省政府采购网上公开信息系统按项目获取采购文件，并于2024年10月17日 09时15分00秒（北京时间）前递交投标文件。</w:t>
      </w:r>
    </w:p>
    <w:p w14:paraId="6FB50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一、项目基本情况</w:t>
      </w:r>
    </w:p>
    <w:p w14:paraId="53BC0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项目编号：[350101]FJSXZB[GK]2024009</w:t>
      </w:r>
    </w:p>
    <w:p w14:paraId="1FDB63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项目名称：软件技术实训基地-智慧大数据可视化实训室</w:t>
      </w:r>
    </w:p>
    <w:p w14:paraId="37C434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采购方式：公开招标</w:t>
      </w:r>
    </w:p>
    <w:p w14:paraId="46617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预算金额：2,499,000.00元</w:t>
      </w:r>
    </w:p>
    <w:p w14:paraId="697448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采购包1(合同包1):</w:t>
      </w:r>
      <w:bookmarkStart w:id="0" w:name="_GoBack"/>
      <w:bookmarkEnd w:id="0"/>
    </w:p>
    <w:p w14:paraId="7E7E5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采购包预算金额：2,499,000.00元</w:t>
      </w:r>
    </w:p>
    <w:p w14:paraId="4659D2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采购包最高限价： 2,499,000.00元</w:t>
      </w:r>
    </w:p>
    <w:p w14:paraId="13403C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投标保证金： 24,990.00元</w:t>
      </w:r>
    </w:p>
    <w:p w14:paraId="059F61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采购需求：（包括但不限于标的的名称、数量、简要技术需求或服务要求等）</w:t>
      </w:r>
    </w:p>
    <w:tbl>
      <w:tblPr>
        <w:tblW w:w="60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99"/>
        <w:gridCol w:w="936"/>
        <w:gridCol w:w="714"/>
        <w:gridCol w:w="821"/>
        <w:gridCol w:w="692"/>
        <w:gridCol w:w="4004"/>
        <w:gridCol w:w="1015"/>
        <w:gridCol w:w="1176"/>
      </w:tblGrid>
      <w:tr w14:paraId="2349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556E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品目号</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332D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品目编码及品目名称</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993A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采购标的</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58AC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数量（单位）</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CCEA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允许进口</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4075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简要需求或要求</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F3A0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品目预算(元)</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A8AC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中小企业划分标准所属行业</w:t>
            </w:r>
          </w:p>
        </w:tc>
      </w:tr>
      <w:tr w14:paraId="13D6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9995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2042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5E7E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大数据教学开发板</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6F28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EE6E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BF55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1.屏幕 屏幕尺寸≥13英寸 屏幕色彩≥10亿色 分辨率≥2880 * 1920 2.网络 WLAN 频率可支持2.4GHz和5GHz WLAN 协议802.11 a/b/g/n/ac/ax，2*2MIMO 3.存储 运行内存（RAM）≥12GB 存储容量（ROM）≥256GB 4.传输功能 Wi-Fi工作频段可支持2.4GHz和5GHz 蓝牙传输Bluetooth 5.2，支持BLE，支持AAC、LDAC。 5.摄像功能 前置摄像头≥1600万像素 后置摄像头≥1300万像素高清摄像头（支持自动对焦）+≥ 800万像素广角摄像头（f/2.2光圈） 6.支持实训室设备间的联合控制功能，实现实训室管理、教学、互动等功能。</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A340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5,000.00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52010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1C38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0C2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1-2</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B992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FA5B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大数据超融合算力平台</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5A4B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4(台)</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E1D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0481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一、超融合平台性能要求 1.支持平台中的集群资源环境一键检测，对硬件健康、系统的运行状态和配置，进行多个维度进行检查，确保系统最佳状态； 2.支持虚拟机搭建，每个虚拟机都可以安装独立的操作系统，操作系统支持需要包括Windows、 Linux，并且支持国产操作系统包括：红旗Linux、中标麒麟、中标普华等，便于部署减少运维工作量； 3.支持HA和数据多副本存储，避免数据丢失，实现故障自动切换，确保磁盘/主机故障时不影响数据中心业务正常使用； 4.计算性能≧2颗X86处理器(28核/2.0G)，运行内存容量≧256G，系统盘容量≧2块240G SSD，缓存盘容量≧2块1.92 T SSD，数据盘容量≧6块8T，≥4个千兆网口，≥2个万兆光口，支持内存和存储扩容。 二、计算虚拟化性能要求 1.支持虚拟机实现物理机的全部功能，如具有自己的资源（内存、CPU、网卡、存储），可以指定单独的MAC地址等； 2.支持并配置动态资源扩展功能，系统将自动评估虚拟机的性能情况，当虚拟机性能不足时自动为虚拟机添加CPU和内存资源，确保业务持续高效运行； 3.支持在线的带存储的虚拟机迁移功能，可以在不停机状态下和非共享存储的环境中，实现虚拟机在集群内的不同物理机上迁移，保障业务连续性。 4.支持虚拟机卡死及蓝屏的检测功能并实现自动重启，无需人工干预减少运维工作量； 5.支持集群资源环境一键检测，可以选择检测对象，包括系统运行状态检测（系统服务检测、配置文件检测、系统分区检测、存储空间检测）、系统配置检测（网口配置检测）、硬件健康检测（CPU检测、内存检测、网卡检测、硬盘基本功能检测）可以点击开始检测按钮对检测对象进行检测操作。（提供有资质的第三方机构出具的带有CMA标志的系统运行状态检测的检查报告，至少包含报告首页，对应功能测试页） 6.基本资源监控功能，查看CPU、网络和磁盘已使用实时数据信息，可以点击告警设置对CPU、网络和磁盘进行占用阈值设置操作，可以以告警通知的方式告知CPU、网络和磁盘使用率超过阈值。 三、网络虚拟化性能要求 1.支持大屏展示功能，可直观看到当前整个数据中心业务状态，当业务出现故障时，通过多种方式（短信、邮箱）告知管理员进行排障； 2.支持跳转连通性探测页面，可以设置探测对象信息，包括网口、对象类型、IP地址，可以点击开始探测按钮查看探测页面信息，可以在网络连通性</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0182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960,000.00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659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2A12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B18F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1-3</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A760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529C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超融合交换机</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5AAB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2(台)</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79B1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C5D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 万兆SFP+光口≥12个；千兆电口≥12个；Console口≥1个，Manage口≥1个； 2. 支持双交流电源1+1冗余； 3. 交换容量≥1.28Tbps/12.8Tbps，包转发率≥480Mpps； 4. 支持IGMP v1/v2/v3 Snooping，支持STP、RSTP、MSTP协议，支持端口聚合，支持手工和静态LACP； 5. 支持防网关ARP欺骗，支持端口保护、隔离、防止ARP泛洪攻击功能，支持DHCP Snooping，支持交换机端口设置为信任端口或非信任端口，非信任端口也可设置白名单响应DHCP报文； 6. 支持M-LAG技术，跨设备链路聚合（非堆叠技术实现），要求配对的设备有独立的控制平面； 7. 支持通过网管中心平台一键替换“按钮”即可完成故障设备替换； 8. 支持通过APP进行远程管理，并且可以修改交换机网络配置； 9. 支持终端类型库，基于指纹终端识别库自动识别PC、路由器、摄像头设备、无线AP等； 10. 交换机支持与外部安全感知平台联动，且联动实现从系统及接入层交换机对风险终端MAC地址进行封堵；交换机支持与外部防火墙联动，且联动实现从系统及接入层交换机对风险终端MAC地址进行封堵； 11. 支持在交换机上创建东西向安全策略，实现全网安全风险拦截；并支持各个区域/角色流量互访记录并呈现，支持攻击源定位，检测到攻击源后根据策略将终端拉黑，防止终端持续攻击；（提供有资质的第三方机构（提供有资质的第三方机构出具的带有CMA标志或CNAS认证章的安全策略功能检查报告，至少包含报告首页，对应功能测试页）</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932D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48,000.00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66485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1A18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460C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1-4</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FBFDA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C4A6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创意数据展示平台</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D611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02E4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AC96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一、显示模块一、显示模块 1、点间距≤1.6mm，屏体显示不小于:长2.5m*高1.5m，全分辨率为:2496*1248,铜线封装; 2、灯芯像素封装:SMD三合一封装; 3、像素密度≥422500Dots/m; 4、模组尺寸≥300mm*150mm、模组像素密度≥200点*100点; 5、结构特点:灯驱合一，采用恒流设计; 6最大亮度≥450cd/m; 7、亮度均匀性:≥97%; 8、具有单点亮度校正功能; 9、水平视角: ≥140°、垂直视角: ≥130°; 10、最大对比度≥3000:1: 11、低亮灰度:100%亮度时，灰度&gt;16bits 12、产品满足盐雾10级标准要求以上; 13、刷新频率符合≥3500HZ 14、色温:1000K-3000K可调; 二、接收卡 1、单卡最大带载≥512*512像素，标准的HUB75E接口≥12个，支持RGB并行数据≥24组。 三、屏幕控制 1.支持显示素材多样化，各种视频文件、图片、底图、字幕、流媒体、IP桌面、超大分辨率图像的任意开窗叠加显示; 2.支持控制主机对播放内容进行定时安排播放、可按分钟/小时/天/周来进行预设,实现画面自动按时切换、轮巡显示; 3.具有软件折线图、曲线图、柱状图、饼图、文字等20种图形模版选择、数据自定义编写和图形数据同步显示;能够自定义新建平台模版，能实时对自定义进行数据编写、排版、保存; 4.为了确保用户可视化信息的保密管理，采用一机一授权使用，一键切换预览模式、编辑模式，直观显示配置效果。 5.具有多功能融合投屏功能支持屏幕任意开窗、内容轮巡、超高分辨率显示 四、视频处理器 1.支持常见的视频接口，包括不少于1路3G-SDI、2路HDMI1.3、1路DVI、1路CVBS、1路VGA、1路USB 播放。 2.支持不少于3个窗口和不少于1路OSD。 3.支持快捷配屏和高级配屏功能。 4.支持HDMI、DVI 输入分辨率自定义调节。 5.支持设备间备份设置； 6.视频输出最大带载≥390万像素，6路网口输出； 7.支持最宽带载≥4096点，最高带载≥4096点。</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DA2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144,000.00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8AF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2D0E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7FA3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1-5</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9185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9465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异形数据展示设备</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0BC5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3(套)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5B22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17A5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1、点间距:≤1.6mm;屏体显示圆形直径不小于600mm，全分辨率为:2496*1248,铜线封装; 2、灯芯像素封装:SMD三合一封装; 3、像素密度≥422500Dots/m; 4、模组尺寸:320mmX160mm、模组像素密度:208点*104点; 5、结构特点:灯驱合一，采用恒流设计; 6最大亮度≥450cd/m; 7、亮度均匀性:≥97%; 8、具有单点亮度校正功能; 9、水平视角: ≥140°、垂直视角: ≥130°; 10、最大对比度≥3000:1: 11、低亮灰度:100%亮度时，灰度&gt;16bits 12、产品满足盐雾10级标准要求; 13、刷新频率符合≥3840HZ 14、色温:3000K-1000K可调; 15、发光点中心距偏差:≤3%; 16、模组结构采用钢、铝、塑料等材料，结构安全坚固； 17、工作电压:模组供电电压4.5VDC。</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7BAE0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90,000.00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8060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7D03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B480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1-6</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72CA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C92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设备柜</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E950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05CB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A4EB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1、整体尺寸≥600mm*1100mm*2000mm，前后网孔门材料采用≥1.5mm冷板； 2、立柱材料：≥2.0mm冷板； 3、框架材料：≥2.0mm冷板,≥16折型材。</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8FACF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8,000.00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74D8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4CE9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508F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1-7</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721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F4BE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行业大数据采集器</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E571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3CE5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1E1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一、实训台 1. 外观尺寸（长*宽*高）：≥700mm*250mm*500mm； 2. 主面板尺寸（长*高）：≥650mm*350mm； 3. 网络接口：支持≥1个WAN口，4个LAN口； 二、关键传感器 1、土壤水分传感器（工业型）： 工作电压：12-30V，电流输出4~20mA，土壤水分测量精度：0-53%范围内为±3%; 53-100%范围内为±5% 土壤温度测量精度：-40~80℃ 2、温湿度光敏传感器（Zigbee）： 供电电压（V-dc）：≤3.5V；最大功耗（mW）：≤100； 感光光谱范围（nm）：480~1050； 响应时间（μs）：上升：≤3.5， 下降：≤5； 湿度范围：0~100%RH，温度范围：-40~125℃ 3、二氧化碳变送器： 采用红外二氧化碳传感器，内置温度传感器。 供电电源：12~24V，响应时间：＜30S。 4、大气压传感器（工业型）： 输出形式：4-20mA DC，工作温度：-10～60℃， 量程范围：0-110KPa 5、风速传感器（工业型）： 精度（电流输出型）：1M/S(0.2M/S启动)，量程：0～30m/s， 输出信号：4～20MA 6、风向传感器： 供电电压：10~30V DC；通信接口：RS485(Modbus协议)； 量程范围：0-360°；相应时间：≤1s； 7、风扇： 转速(RPM)：3000～4000 风量（CFM）：24～35 8、水泵： 功率：≥18W，扬程：≥4米，流量：≥8L/min； 输送介质温度：1～60℃； 尺寸：≥长80mm*宽50mm*高60mm。 9、云台摄像头： 高清像素：≥100万（720P）； 红外夜视：夜视距离≥20米； 连接方式：无线Wi-Fi 、网线； 显示方式：支持电脑、平板、手机； 录像方式：手动录像、移动侦测录像、定时录像、报警录像； 回放录像方式：支持电脑、平板、手机本地与异地远程回放； 压缩方式：H264； 报警功能：能移动侦测报警、推送消息至手机报警； 10、声光报警器： 转速：120-140RPM； 音量：≥80db。 三、核心设备 1、物联网中心网关 CPU：四核处理器，频率≥1.8GHz 支持OPENGL ES1.1/2.0/3.0,OPEN VG1.1,OPENCL,Directx11 内嵌高性能2D/3D加速硬件 支持4K、H.265硬解码10bits</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7C09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78,000.00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4AC5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58C0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2007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1-8</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1206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FD7E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智能大数据分析平台</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7E77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5EB9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F286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一、架构要求 1.平台基于标准J2EE架构，采用B/S 架构,能够在通过浏览器直接在服务器中进行报表使用，无需安装任何客户端软件（须提供软件功能演示视频）； 2.兼容Edge，Safari，Chrome 63， Firefox 57且无需安装任何插件； 3.支持主流操作系统， 包括Windows、Linux、Aix、mac 等的 32 和 64 位版本； 4.支持 Tomcat、weblogic、websphere、JBoss等主流 web 应用服务器； 5.操作系统：支持统信UOSV20、Centos 7.8。 二、功能要求 1.支持数据源； 1.1支持Oracle、DB2、SQL Server、MySQL、Derby、Access、Informix、Postgre sql 、Clickhouse、Sybase、Presto、Vertica、Teradata、Aster等全部主流关系型数据库； 1.2支持Hadoop体系 （如Hive、Hbase、Spark、Impala等）； 1.3支持ES（Elasticsearch）、Redis、SQLServer Analysis Services、Oracle Essbase等NOSQL； 1.4支持多维数据源 （Hyperion Essbase、SAP BW、SSAS等）； 1.5支持CTSDB、TBDS、TBDS OLAP、RESTful数据源； 1.6支持将Excel、Csv、Txt、Log等文件型的数据直接作为数据源，支持对EXCEL文件数据集选择多个sheet页合并为一个数据集或分别生成多个数据集； 1.7 具备数据访问接口。 2.数据预处理: 2.1支持新增自定义字段，自定义字段能自动转化为数据库脚本，也可以选内内存计算（增强计算列功能）； 2.2支持数据的清洗功能，包括数据补空、去除空格、缺失值填充、筛选过滤、格式转换、数据列自定义拆分、排序、范围分组和新增自定义数据字段等； 2.3支持设置可见性、地址转经纬度，支持元数据多选操作，同时设置多个维度或度量。当选择多个维度或者度量时，可以同时对所选的多个字段进行显示/隐藏列，转换为维度/度量的操作； 2.4支持自动按粒度拆分日期，通过数据类型的分类，让用户选择合适的数据类型来新建表达式或层次； 2.5支持通过可视化点击的方式查看数据模型特征，包括数据模型的最大</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DB49E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358,000.00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C47F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46C9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DF8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1-9</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437A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349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大数据采集与处理平台</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6E1E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0BA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E07F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一、架构要求 1.软件系统基于B/S架构，支持用户数不限； 2.系统并发性要求：系统支持≥60人用户同时的并发访问； 3.系统部署环境需求：支持统信UOSV20、Centos。 二、功能要求 1.平台预置字符串数据处理模块，数据请求模块，图表可视化模块、数据整理模块、自然语言分词模块等方便引用调用，具备数据访问接口（须提供软件功能截图或者演示视频佐证）； 2.平台预置不少于4类行业案例，包括电商类《女装商品信息数据采集》、《用户评论数据采集与处理》、《陶瓷商品信息数据采集与处理》；媒体类《豆瓣影评数据采集与处理》、《腾讯新闻列表数据采集与处理》；金融类《股票价量走势分析》、《股票数据获取》、《金融时间序列数据统计分析》；财务类《工资数据统计》、《合同批量处理》； 3.平台以Python案例训练为主，每个账户有独立的沙箱环境，可实现任务重置功能，支持通过重置清空流程内的所有配置信息，变换规则参数进行反复多次数据分析训练； 4.具备网页数据采集模式与接口数据采集模式，学员可用模块直接执行，可得到相应的采集数据反馈； 5.具备预览采集结果功能，且预览数据条数用户可自行调整； 6.采集结果支持下载采集数据到本地客户机； 7.预置代码采集模块，解决学生编码难问题，教师可通过自由设置，将代码模块留空，交予学生进行数据采集训练； 8.所提供实验环境文本编辑器支持多种编辑器风格，包括但不限于：vim、emacs、markdown； 9.内嵌虚拟仿真Python编辑器，支持Python脚本、Markdown的在线编辑和运行，同时可进行代码错误提示； 10.所提供的实验环境，可通过终端执行命令进行实验； 11.所提供的实验环境支持多个学生不同模型训练任务同时运行，提高资源使用效率； 12.平台运行环境支持导入ipynb文件进行执行与导出执行完成的代码文件为ipynb文件，更好的支撑老师教学与科研使用； 13.平台运行环境支持不少于3种字符清理、8种字符替换、7个自定义字段分隔或合并、20种批量化处理数据规则，支持缺失值按照均值、中位数、0值、遗弃数据行多种方式自动填补；具有清洗结果预览、本地下载功能，预览数据条数用户可自行调整； 14.平台支持使用Selenium框架自动采集动态网页数据，支持Firefox浏览器，具备防屏蔽机制，结合requests、BeautifulSoup库实现高</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8CF6C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280,000.00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0AC21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7A60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4D1E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1-10</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E593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6410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数据管理定制化报表系统</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C5DB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B382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1A88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一、数据建模模块 1.支持开展数据分析和结果展示，均是以数据输入为基础，需要从各类不同的数据库中根据不同需求导入数据，生成数据集。多数据来源聚合归类分析功能需要使用数据建模模块，在连接数据库时根据模型生成数据集； 2.数据建模子系统作为平台的第一级接口与数据库相连接，支持配置数据库连接信息，为后续数据分析操作提供输入。数据建模子系统方便用户快速使用数据库，避免重复输入数据库连接信息的麻烦。尤其当用户需要频繁访问同一个数据库，只需在初次访问时，输入数据库连接信息并保存为数据源，那么以后访问时，便可直接通过该数据源连接到数据库； 3.系统应支持以下数据集：SQL数据集，Excel 数据集，定制数据集，组合数据集，自服务数据集，多维数据集。具备数据访问接口。 二、数据分析子系统 1.数据分析子系统须包含≥10项内容（图表支持、仪表盘设计、网页嵌入、可视化分析、联动分析、UI布局美化、数据填报录入、分享报告、收藏报告、数据预警推送、自动保存与恢复、报告水印、报表管理等内容)； 2.支持拖拽字段生成图表和筛选器的操作； 3.支持柱图（2D/3D）、堆积柱图（2D/3D）、饼图（2D/3D）、线图、平滑线图、环形图、面积图、气泡图、散点图、词云、仪表盘、组织结构图、矩阵树图、直方图、漏斗图、关系图、3D地图、3D模型、轨迹图、富文本（支持参数）等多种展现形式； 4.支持可视化筛选器，实现交互式分析，筛选器样式包括单选框、多选框、下拉列表、文本输入框、滚动条、日历等； 5.同一张表格支持来自多个数据源的数据； 6.支持查看报告的编辑模式设置，满足不同层次的自服务要求。 7.支持图表排序（降序、升序、手动排序、聚合排序）； 8.支持多种显示自适应设置，如全屏自适应、等比例自适应、宽自适应等，满足不低于3种屏幕尺寸要求； 9.支持自定义函数及高级统计函数； 10.支持演示模式； 11.地图须支持5种以上（天地图、高德、谷歌、here、腾讯、ArcGIS）。 12．平台支持组件格式刷，能够对整个图表的各个区域的样式进行统一设置； 13．平台须提供不低于5种报告模板，为用户提供丰富的报告模板，进行一键式应用，也可以将自己制作好的报告/组件保存为模板。 三、定时调度子系统 1.平台支持定时调度功能。用户可以设定触发条件或定期执行报告或数据任务。当有连续事件时，多任务功能够自动连续执行多个任</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5135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298,000.00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B3934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r w14:paraId="5285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After w:w="0" w:type="auto"/>
          <w:trHeight w:val="480" w:hRule="atLeast"/>
          <w:jc w:val="center"/>
        </w:trPr>
        <w:tc>
          <w:tcPr>
            <w:tcW w:w="4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4538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1-11</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FF8D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A02102100-教学仪器</w:t>
            </w:r>
          </w:p>
        </w:tc>
        <w:tc>
          <w:tcPr>
            <w:tcW w:w="3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331C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大数据资源中心</w:t>
            </w:r>
          </w:p>
        </w:tc>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2761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1(套)</w:t>
            </w:r>
          </w:p>
        </w:tc>
        <w:tc>
          <w:tcPr>
            <w:tcW w:w="3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45C6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否</w:t>
            </w:r>
          </w:p>
        </w:tc>
        <w:tc>
          <w:tcPr>
            <w:tcW w:w="19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B100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21" w:leftChars="-10" w:right="-21" w:rightChars="-1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一、架构要求 1、平台采用springcloud微服务构架，满足轻量化服务的需求，软件系统基于B/S架构，支持用户数不限； 2、平台包含（docker,docker-compose,kubernetes）容器进行平台部署； 3、平台采用rabbitmq或其他技术作为消息队列； 4、平台采用 mysql redis或其他技术进行持久化，分布式缓存； 5、平台采用minio 进行资源存储； 6、平台无缝集成：平台须与大数据采集与处理平台无缝衔接，实现虚拟化和统一账户接口，实现单点登录，能够满足学生在统一虚拟仿真实践教学平台中完成教学任务、理论知识点学习、大数据分析工具实操、实际业务预测与分析、经营决策分析应用完美结合，将真实企业内外部经营大数据分析项目搬进课堂； 7、系统并发性要求：系统支持高并发访问下的高可用性，支持≥200人用户同时在线； 8.具备数据访问接口。 二、功能要求 1.管理端 可实现管理功能，可对进行课程管理、人员管理、资源库管理、智能AI管理、组织管理等操作。 1.1课程管理： 1.1.1须提供平台课程与院校课程浏览功能，管理员可根据自身需求一键浏览课程内容； 1.1.2平台课程模块须提供预览功能，能够进行浏览的资源包括但不限于：课件、视频、数据集库等资源。 1.1.3须提供资源和课程的预览、编辑、删除功能； a.须提供预览功能，能够进行浏览的资源包括但不限于：课件、视频、数据集库等资源； b.须提供课程编辑功能，能够进行课程名称、课程分类、建议学时、课程描述与课程目标的输入与调整； c.支持学习单元的创建功能，能够根据需求进行章节命名与推荐学实规划； d.支持章节二级模块创建、编辑与删除功能，能够支持课件库、视频库、数据集库的上传、下载、删除与预览； e.须提供课程下发功能，能够一键至班级。 1.2人员管理：须提供角色管理与成员管理模块，方便用户进行设置与管理 1.2.1角色管理：能够实现自由添加学生与老师的角色，方便用户自由配置，能够提供名称编辑功能，并根据面向教师与学生的区别进行班级中心、课程管理、人员管理、资源库、考评中心、组织管理等功能的权限开放与删除。 1.2.2成员管理：能够实现班级的创建、编辑与删除，并实现成员的添加与删除； a.须提供多种成员创建方式； b.须提供单个创建与批量创建用户功能； 1.3资源库：须提供包含课件库、视频库、数</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DEE5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230,000.00</w:t>
            </w:r>
          </w:p>
        </w:tc>
        <w:tc>
          <w:tcPr>
            <w:tcW w:w="5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A70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1" w:leftChars="-10" w:right="-21" w:rightChars="-1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vertAlign w:val="baseline"/>
                <w:lang w:val="en-US" w:eastAsia="zh-CN" w:bidi="ar"/>
              </w:rPr>
              <w:t>工业</w:t>
            </w:r>
          </w:p>
        </w:tc>
      </w:tr>
    </w:tbl>
    <w:p w14:paraId="2EF62F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本采购包不接受联合体投标</w:t>
      </w:r>
    </w:p>
    <w:p w14:paraId="104E74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合同履行期限：自合同签订之日起60日</w:t>
      </w:r>
    </w:p>
    <w:p w14:paraId="5FA90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二、申请人的资格要求：</w:t>
      </w:r>
    </w:p>
    <w:p w14:paraId="4C7E39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1.满足《中华人民共和国政府采购法》第二十二条规定;</w:t>
      </w:r>
    </w:p>
    <w:p w14:paraId="3CE2C6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2.落实政府采购政策需满足的资格要求：</w:t>
      </w:r>
    </w:p>
    <w:p w14:paraId="57C6D2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采购包1：无</w:t>
      </w:r>
    </w:p>
    <w:p w14:paraId="5BCF2F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3.本项目的特定资格要求：</w:t>
      </w:r>
    </w:p>
    <w:p w14:paraId="63F17B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采购包1：</w:t>
      </w:r>
    </w:p>
    <w:p w14:paraId="071690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(1)根据《福州市财政局关于进一步推进政府采购领域优化营商环境工作的通知》（榕财采〔2021〕52号），2022年1月1日起，预算金额在500万元以内的政府采购项目推行供 应商资格证明材料承诺制。供 应商在投标（响应）时，可自行选择是否按该通知规定提供资格承诺函，若按规定提供资格承诺函的，无需再提交财务状况、缴纳税收和社保资金缴纳等证明材料。注：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p w14:paraId="11C9E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三、采购项目需要落实的政府采购政策</w:t>
      </w:r>
    </w:p>
    <w:p w14:paraId="7ACBC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进口产品：不适用于本项目</w:t>
      </w:r>
    </w:p>
    <w:p w14:paraId="689BE6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节能产品：适用于本项目</w:t>
      </w:r>
    </w:p>
    <w:p w14:paraId="3D7C09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环境标志产品：适用于本项目</w:t>
      </w:r>
    </w:p>
    <w:p w14:paraId="6FC82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四、获取招标文件</w:t>
      </w:r>
    </w:p>
    <w:p w14:paraId="348C42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时间： 2024-09-25 至 2024-10-08 ，（提供期限自本公告发布之日起不得少于5个工作日），每天上午00:00:00至12:00:00，下午12:00:00至23:59:59（北京时间，法定节假日除外）</w:t>
      </w:r>
    </w:p>
    <w:p w14:paraId="1B7403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2A9064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方式：在线获取</w:t>
      </w:r>
    </w:p>
    <w:p w14:paraId="608D2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售价：免费</w:t>
      </w:r>
    </w:p>
    <w:p w14:paraId="5E8A5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五、提交投标文件截止时间、开标时间和地点</w:t>
      </w:r>
    </w:p>
    <w:p w14:paraId="69DF38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2024-10-17 09:15:00（北京时间）（自招标文件开始发出之日起至投标人提交投标文件截止之日止，不得少于20日）</w:t>
      </w:r>
    </w:p>
    <w:p w14:paraId="250A1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地点：福建省福州市仓山区南江滨西大道199号福州市城市规划展示馆3楼福州市公共资源交易服务中心</w:t>
      </w:r>
    </w:p>
    <w:p w14:paraId="4FE3CA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六、公告期限</w:t>
      </w:r>
    </w:p>
    <w:p w14:paraId="52329F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自本公告发布之日起5个工作日。</w:t>
      </w:r>
    </w:p>
    <w:p w14:paraId="53749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七、其他补充事宜</w:t>
      </w:r>
    </w:p>
    <w:p w14:paraId="173BD0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无</w:t>
      </w:r>
    </w:p>
    <w:p w14:paraId="0F9E5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vertAlign w:val="baseline"/>
        </w:rPr>
        <w:t>八、对本次招标提出询问，请按以下方式联系。</w:t>
      </w:r>
    </w:p>
    <w:p w14:paraId="3A0A12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vertAlign w:val="baseline"/>
        </w:rPr>
        <w:t>1.采购人信息</w:t>
      </w:r>
    </w:p>
    <w:p w14:paraId="0AD3BD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名称：福州职业技术学院</w:t>
      </w:r>
    </w:p>
    <w:p w14:paraId="10A9CF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地址：福州市闽侯上街联榕路8号</w:t>
      </w:r>
    </w:p>
    <w:p w14:paraId="56A02D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联系方式：83760305</w:t>
      </w:r>
    </w:p>
    <w:p w14:paraId="5595F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vertAlign w:val="baseline"/>
        </w:rPr>
        <w:t>2.采购代理机构信息（如有）</w:t>
      </w:r>
    </w:p>
    <w:p w14:paraId="15046F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名称：福建盛鑫招标代理有限公司</w:t>
      </w:r>
    </w:p>
    <w:p w14:paraId="50F56A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地址：鼓东街道湖东路79号福建外运大厦七层西区</w:t>
      </w:r>
    </w:p>
    <w:p w14:paraId="3423D5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联系方式：0591-83508520分机8622</w:t>
      </w:r>
    </w:p>
    <w:p w14:paraId="12EDD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vertAlign w:val="baseline"/>
        </w:rPr>
        <w:t>3.项目联系方式</w:t>
      </w:r>
    </w:p>
    <w:p w14:paraId="2B1C9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项目联系人：蓝斌、胡奇龄、林霞、郑淑明</w:t>
      </w:r>
    </w:p>
    <w:p w14:paraId="70D5DD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电话：0591-83508520分机8622</w:t>
      </w:r>
    </w:p>
    <w:p w14:paraId="63111A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网址： zfcg.czt.fujian.gov.cn</w:t>
      </w:r>
    </w:p>
    <w:p w14:paraId="7BB158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开户名：福建盛鑫招标代理有限公司</w:t>
      </w:r>
    </w:p>
    <w:p w14:paraId="68829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福建盛鑫招标代理有限公司</w:t>
      </w:r>
    </w:p>
    <w:p w14:paraId="5A8A29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vertAlign w:val="baseline"/>
        </w:rPr>
        <w:t>2024年09月25日</w:t>
      </w:r>
    </w:p>
    <w:p w14:paraId="4C8B7159">
      <w:pPr>
        <w:keepNext w:val="0"/>
        <w:keepLines w:val="0"/>
        <w:pageBreakBefore w:val="0"/>
        <w:kinsoku/>
        <w:overflowPunct/>
        <w:topLinePunct w:val="0"/>
        <w:autoSpaceDE/>
        <w:autoSpaceDN/>
        <w:bidi w:val="0"/>
        <w:adjustRightInd/>
        <w:snapToGrid/>
        <w:spacing w:line="400" w:lineRule="exact"/>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OTBlOTY0ZGM4YmRlMjdkNWRhZDYyYjE0MWFhMzkifQ=="/>
  </w:docVars>
  <w:rsids>
    <w:rsidRoot w:val="51F778E8"/>
    <w:rsid w:val="41C07F72"/>
    <w:rsid w:val="51F778E8"/>
    <w:rsid w:val="5346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2024-09-25T07:31:00Z</dcterms:created>
  <dc:creator>Administrator</dc:creator>
  <cp:lastModifiedBy>Administrator</cp:lastModifiedBy>
  <dcterms:modified xsi:type="dcterms:W3CDTF">2024-09-25T07:36:15Z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03369810C17D45E79AD76AEC3C3577A4_11</vt:lpwstr>
  </property>
</Properties>
</file>